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48" w:rsidRPr="00F87780" w:rsidRDefault="00F87780">
      <w:pPr>
        <w:rPr>
          <w:b/>
        </w:rPr>
      </w:pPr>
      <w:bookmarkStart w:id="0" w:name="_GoBack"/>
      <w:bookmarkEnd w:id="0"/>
      <w:r w:rsidRPr="00F87780">
        <w:rPr>
          <w:b/>
        </w:rPr>
        <w:t>FGB Attendance report</w:t>
      </w:r>
      <w:r>
        <w:rPr>
          <w:b/>
        </w:rPr>
        <w:t xml:space="preserve"> July 2017</w:t>
      </w:r>
      <w:r w:rsidRPr="00F87780">
        <w:rPr>
          <w:b/>
        </w:rPr>
        <w:t>:</w:t>
      </w:r>
    </w:p>
    <w:tbl>
      <w:tblPr>
        <w:tblW w:w="7840" w:type="dxa"/>
        <w:tblInd w:w="113" w:type="dxa"/>
        <w:tblLook w:val="04A0" w:firstRow="1" w:lastRow="0" w:firstColumn="1" w:lastColumn="0" w:noHBand="0" w:noVBand="1"/>
      </w:tblPr>
      <w:tblGrid>
        <w:gridCol w:w="3320"/>
        <w:gridCol w:w="2260"/>
        <w:gridCol w:w="2260"/>
      </w:tblGrid>
      <w:tr w:rsidR="00F87780" w:rsidRPr="00F87780" w:rsidTr="00F87780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Report to Governors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Sept -26 May '17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Sept - 27 May 2016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Overall Attendance Yrs7-11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94.9%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94.5%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Overall PA (under 90%)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11.2%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Overall PA (under 85%)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4.8%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6.3%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Overall Attendance by Year Group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Yr7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95.7%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94.7%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Yr8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94.5%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95.3%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Yr9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94.3%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94.2%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Yr10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94.7%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94.9%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Yr11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95.4%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93.5%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MECES open cases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Attendance of MECES open cases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63.7%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80.7%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Monthly Attendance </w:t>
            </w:r>
            <w:proofErr w:type="spellStart"/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Yrs</w:t>
            </w:r>
            <w:proofErr w:type="spellEnd"/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7-11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APRIL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94.1%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94.8%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1A79F9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</w:t>
            </w:r>
            <w:r w:rsidR="00F87780"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94.7%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Attendance by category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BOYS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95.1%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94.7%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GIRLS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94.8%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94.3%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LAC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88.6%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99.3%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92.6%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91.4%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93.3%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93.1%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95.1%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94.0%</w:t>
            </w:r>
          </w:p>
        </w:tc>
      </w:tr>
      <w:tr w:rsidR="00F87780" w:rsidRPr="00F87780" w:rsidTr="00F8778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OASIS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89.8%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80" w:rsidRPr="00F87780" w:rsidRDefault="00F87780" w:rsidP="00F87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7780">
              <w:rPr>
                <w:rFonts w:ascii="Calibri" w:eastAsia="Times New Roman" w:hAnsi="Calibri" w:cs="Times New Roman"/>
                <w:color w:val="000000"/>
                <w:lang w:eastAsia="en-GB"/>
              </w:rPr>
              <w:t>94.5%</w:t>
            </w:r>
          </w:p>
        </w:tc>
      </w:tr>
    </w:tbl>
    <w:p w:rsidR="00F87780" w:rsidRDefault="00F87780"/>
    <w:p w:rsidR="00F87780" w:rsidRPr="00F87780" w:rsidRDefault="00F87780" w:rsidP="00F87780">
      <w:pPr>
        <w:rPr>
          <w:b/>
        </w:rPr>
      </w:pPr>
      <w:r w:rsidRPr="00F87780">
        <w:rPr>
          <w:b/>
        </w:rPr>
        <w:t>Attendance analysis:</w:t>
      </w:r>
    </w:p>
    <w:p w:rsidR="00F87780" w:rsidRDefault="00F87780" w:rsidP="00F87780">
      <w:r>
        <w:t>Overall absence rate T = 5%, currently running at 5.1%.</w:t>
      </w:r>
    </w:p>
    <w:p w:rsidR="001B5656" w:rsidRDefault="001B5656" w:rsidP="00F87780">
      <w:r>
        <w:t>National rate = 5.3%, Essex rate = 4.9%</w:t>
      </w:r>
    </w:p>
    <w:p w:rsidR="00F87780" w:rsidRDefault="00F87780" w:rsidP="00F87780">
      <w:r>
        <w:lastRenderedPageBreak/>
        <w:t>PA at 10% T = 11.3, currently running at 11.2%</w:t>
      </w:r>
    </w:p>
    <w:p w:rsidR="001B5656" w:rsidRDefault="001B5656" w:rsidP="00F87780">
      <w:r>
        <w:t>National PA = 13.6%, Essex rate = 11.9%</w:t>
      </w:r>
    </w:p>
    <w:p w:rsidR="00F87780" w:rsidRDefault="00F87780" w:rsidP="00F87780">
      <w:r>
        <w:t>Many holidays – should level out as national ruling over Platt case filters through.</w:t>
      </w:r>
    </w:p>
    <w:p w:rsidR="00F87780" w:rsidRDefault="00F87780" w:rsidP="00F87780"/>
    <w:p w:rsidR="00F87780" w:rsidRDefault="00F87780" w:rsidP="00F87780"/>
    <w:tbl>
      <w:tblPr>
        <w:tblW w:w="288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007"/>
        <w:gridCol w:w="960"/>
      </w:tblGrid>
      <w:tr w:rsidR="00F87780" w:rsidTr="00F1059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780" w:rsidRDefault="00F87780" w:rsidP="00F10591">
            <w:pPr>
              <w:rPr>
                <w:color w:val="000000"/>
                <w:lang w:eastAsia="en-GB"/>
              </w:rPr>
            </w:pPr>
            <w:bookmarkStart w:id="1" w:name="_MailEndCompose"/>
            <w:r>
              <w:rPr>
                <w:color w:val="000000"/>
                <w:lang w:eastAsia="en-GB"/>
              </w:rPr>
              <w:t>G code</w:t>
            </w:r>
            <w:bookmarkEnd w:id="1"/>
            <w:r>
              <w:rPr>
                <w:color w:val="000000"/>
                <w:lang w:eastAsia="en-GB"/>
              </w:rPr>
              <w:t xml:space="preserve"> = unauthorised holidays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780" w:rsidRDefault="00F87780" w:rsidP="00F1059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Sept - June 2017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780" w:rsidRDefault="00F87780" w:rsidP="00F1059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F87780" w:rsidTr="00F105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780" w:rsidRDefault="00F87780" w:rsidP="00F1059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780" w:rsidRDefault="00F87780" w:rsidP="00F1059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780" w:rsidRDefault="00F87780" w:rsidP="00F1059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F87780" w:rsidTr="00F105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780" w:rsidRDefault="00F87780" w:rsidP="00F10591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Yr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780" w:rsidRDefault="00F87780" w:rsidP="00F1059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Students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780" w:rsidRDefault="00F87780" w:rsidP="00F1059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PN issued</w:t>
            </w:r>
          </w:p>
        </w:tc>
      </w:tr>
      <w:tr w:rsidR="00F87780" w:rsidTr="00F105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780" w:rsidRDefault="00F87780" w:rsidP="00F10591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780" w:rsidRDefault="00F87780" w:rsidP="00F10591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780" w:rsidRDefault="00F87780" w:rsidP="00F10591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</w:tr>
      <w:tr w:rsidR="00F87780" w:rsidTr="00F105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780" w:rsidRDefault="00F87780" w:rsidP="00F10591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780" w:rsidRDefault="00F87780" w:rsidP="00F10591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780" w:rsidRDefault="00F87780" w:rsidP="00F10591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</w:tr>
      <w:tr w:rsidR="00F87780" w:rsidTr="00F105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780" w:rsidRDefault="00F87780" w:rsidP="00F10591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780" w:rsidRDefault="00F87780" w:rsidP="00F10591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780" w:rsidRDefault="00F87780" w:rsidP="00F10591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</w:tr>
      <w:tr w:rsidR="00F87780" w:rsidTr="00F105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780" w:rsidRDefault="00F87780" w:rsidP="00F10591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780" w:rsidRDefault="00F87780" w:rsidP="00F10591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780" w:rsidRDefault="00F87780" w:rsidP="00F10591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</w:tr>
      <w:tr w:rsidR="00F87780" w:rsidTr="00F105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780" w:rsidRDefault="00F87780" w:rsidP="00F10591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780" w:rsidRDefault="00F87780" w:rsidP="00F10591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780" w:rsidRDefault="00F87780" w:rsidP="00F10591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</w:tr>
    </w:tbl>
    <w:p w:rsidR="00F87780" w:rsidRDefault="00F87780" w:rsidP="00F87780">
      <w:pPr>
        <w:rPr>
          <w:rFonts w:ascii="Arial" w:hAnsi="Arial" w:cs="Arial"/>
        </w:rPr>
      </w:pPr>
    </w:p>
    <w:p w:rsidR="00F87780" w:rsidRPr="00CE7AB2" w:rsidRDefault="00F87780" w:rsidP="00F87780">
      <w:pPr>
        <w:rPr>
          <w:rFonts w:cs="Arial"/>
        </w:rPr>
      </w:pPr>
      <w:r>
        <w:rPr>
          <w:rFonts w:cs="Arial"/>
        </w:rPr>
        <w:t>A lot of the LOA were</w:t>
      </w:r>
      <w:r w:rsidRPr="00CE7AB2">
        <w:rPr>
          <w:rFonts w:cs="Arial"/>
        </w:rPr>
        <w:t xml:space="preserve"> under 10 sessions so a P</w:t>
      </w:r>
      <w:r>
        <w:rPr>
          <w:rFonts w:cs="Arial"/>
        </w:rPr>
        <w:t xml:space="preserve">enalty </w:t>
      </w:r>
      <w:r w:rsidRPr="00CE7AB2">
        <w:rPr>
          <w:rFonts w:cs="Arial"/>
        </w:rPr>
        <w:t>N</w:t>
      </w:r>
      <w:r>
        <w:rPr>
          <w:rFonts w:cs="Arial"/>
        </w:rPr>
        <w:t>otice</w:t>
      </w:r>
      <w:r w:rsidRPr="00CE7AB2">
        <w:rPr>
          <w:rFonts w:cs="Arial"/>
        </w:rPr>
        <w:t xml:space="preserve"> could not be applied for.</w:t>
      </w:r>
    </w:p>
    <w:p w:rsidR="00F87780" w:rsidRPr="00CE7AB2" w:rsidRDefault="00F87780" w:rsidP="00F87780">
      <w:pPr>
        <w:rPr>
          <w:rFonts w:cs="Arial"/>
        </w:rPr>
      </w:pPr>
      <w:r w:rsidRPr="00CE7AB2">
        <w:rPr>
          <w:rFonts w:cs="Arial"/>
        </w:rPr>
        <w:t>There are 4 PN about to be requested for LOA this week</w:t>
      </w:r>
    </w:p>
    <w:p w:rsidR="00F87780" w:rsidRPr="00F60102" w:rsidRDefault="00F87780" w:rsidP="00F87780">
      <w:pPr>
        <w:rPr>
          <w:b/>
        </w:rPr>
      </w:pPr>
      <w:r w:rsidRPr="00F60102">
        <w:rPr>
          <w:b/>
        </w:rPr>
        <w:t xml:space="preserve">Key group focus– impact of strategies: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734"/>
        <w:gridCol w:w="1642"/>
        <w:gridCol w:w="1781"/>
        <w:gridCol w:w="1870"/>
      </w:tblGrid>
      <w:tr w:rsidR="00F87780" w:rsidTr="00F10591">
        <w:tc>
          <w:tcPr>
            <w:tcW w:w="2024" w:type="dxa"/>
          </w:tcPr>
          <w:p w:rsidR="00F87780" w:rsidRDefault="00F87780" w:rsidP="00F10591">
            <w:r>
              <w:t>Strategy</w:t>
            </w:r>
          </w:p>
        </w:tc>
        <w:tc>
          <w:tcPr>
            <w:tcW w:w="1770" w:type="dxa"/>
          </w:tcPr>
          <w:p w:rsidR="00F87780" w:rsidRDefault="00F87780" w:rsidP="00F10591">
            <w:r>
              <w:t>Whole year group cohort before and after</w:t>
            </w:r>
          </w:p>
        </w:tc>
        <w:tc>
          <w:tcPr>
            <w:tcW w:w="1701" w:type="dxa"/>
          </w:tcPr>
          <w:p w:rsidR="00F87780" w:rsidRDefault="00F87780" w:rsidP="00F10591">
            <w:r>
              <w:t>Target cohort before and after</w:t>
            </w:r>
          </w:p>
        </w:tc>
        <w:tc>
          <w:tcPr>
            <w:tcW w:w="1843" w:type="dxa"/>
          </w:tcPr>
          <w:p w:rsidR="00F87780" w:rsidRDefault="00F87780" w:rsidP="00F10591">
            <w:r>
              <w:t>Actual student targets before and after</w:t>
            </w:r>
          </w:p>
        </w:tc>
        <w:tc>
          <w:tcPr>
            <w:tcW w:w="1904" w:type="dxa"/>
          </w:tcPr>
          <w:p w:rsidR="00F87780" w:rsidRDefault="00F87780" w:rsidP="00F10591">
            <w:r>
              <w:t xml:space="preserve">Analysis </w:t>
            </w:r>
          </w:p>
        </w:tc>
      </w:tr>
      <w:tr w:rsidR="00F87780" w:rsidTr="00F10591">
        <w:tc>
          <w:tcPr>
            <w:tcW w:w="2024" w:type="dxa"/>
          </w:tcPr>
          <w:p w:rsidR="00F87780" w:rsidRDefault="00F87780" w:rsidP="00F10591">
            <w:r>
              <w:t>£30.00 vouchers offered to student and family for achieving very aspirational attendance target over 6 weeks.</w:t>
            </w:r>
          </w:p>
        </w:tc>
        <w:tc>
          <w:tcPr>
            <w:tcW w:w="1770" w:type="dxa"/>
          </w:tcPr>
          <w:p w:rsidR="00F87780" w:rsidRDefault="00F87780" w:rsidP="00F10591">
            <w:r>
              <w:t>Y9: 94.5% - 94.3%</w:t>
            </w:r>
          </w:p>
        </w:tc>
        <w:tc>
          <w:tcPr>
            <w:tcW w:w="1701" w:type="dxa"/>
          </w:tcPr>
          <w:p w:rsidR="00F87780" w:rsidRDefault="00F87780" w:rsidP="00F10591">
            <w:r>
              <w:t>PP: 92.6% - 92.9%</w:t>
            </w:r>
          </w:p>
        </w:tc>
        <w:tc>
          <w:tcPr>
            <w:tcW w:w="1843" w:type="dxa"/>
          </w:tcPr>
          <w:p w:rsidR="00F87780" w:rsidRDefault="00F87780" w:rsidP="00F10591">
            <w:r>
              <w:t>81.9% - 85.2%</w:t>
            </w:r>
          </w:p>
        </w:tc>
        <w:tc>
          <w:tcPr>
            <w:tcW w:w="1904" w:type="dxa"/>
          </w:tcPr>
          <w:p w:rsidR="00F87780" w:rsidRDefault="00F87780" w:rsidP="00F10591">
            <w:r>
              <w:t xml:space="preserve">Only 1 student achieved target, but 9/10 of targeted cohort improved – however, on overall attendance of year group or PP </w:t>
            </w:r>
            <w:r>
              <w:lastRenderedPageBreak/>
              <w:t>cohort = no impact.</w:t>
            </w:r>
          </w:p>
          <w:p w:rsidR="00F87780" w:rsidRDefault="00F87780" w:rsidP="00F10591">
            <w:r>
              <w:t>But – improved parent engagement and positive boost to individual family that did do it.  Will try again next term.</w:t>
            </w:r>
          </w:p>
        </w:tc>
      </w:tr>
      <w:tr w:rsidR="00F87780" w:rsidTr="00F10591">
        <w:tc>
          <w:tcPr>
            <w:tcW w:w="2024" w:type="dxa"/>
          </w:tcPr>
          <w:p w:rsidR="00F87780" w:rsidRDefault="00F87780" w:rsidP="00F10591">
            <w:r>
              <w:lastRenderedPageBreak/>
              <w:t>Postcards home for 90 – 94% attendance encouraging improvement.</w:t>
            </w:r>
          </w:p>
        </w:tc>
        <w:tc>
          <w:tcPr>
            <w:tcW w:w="1770" w:type="dxa"/>
          </w:tcPr>
          <w:p w:rsidR="00F87780" w:rsidRDefault="00F87780" w:rsidP="00F10591">
            <w:r>
              <w:t>Y10: 94.2% - 94.7&amp;</w:t>
            </w:r>
          </w:p>
        </w:tc>
        <w:tc>
          <w:tcPr>
            <w:tcW w:w="1701" w:type="dxa"/>
          </w:tcPr>
          <w:p w:rsidR="00F87780" w:rsidRDefault="00F87780" w:rsidP="00F10591">
            <w:r>
              <w:t>PP:: 92.6% - 92.9%</w:t>
            </w:r>
          </w:p>
        </w:tc>
        <w:tc>
          <w:tcPr>
            <w:tcW w:w="1843" w:type="dxa"/>
          </w:tcPr>
          <w:p w:rsidR="00F87780" w:rsidRDefault="00F87780" w:rsidP="00F10591">
            <w:r>
              <w:t>93% - 92.9%</w:t>
            </w:r>
          </w:p>
        </w:tc>
        <w:tc>
          <w:tcPr>
            <w:tcW w:w="1904" w:type="dxa"/>
          </w:tcPr>
          <w:p w:rsidR="00F87780" w:rsidRDefault="00F87780" w:rsidP="00F10591">
            <w:r>
              <w:t>Made incremental marginal gains for 12/17 students but no impact overall. Focuses on a negative, therefore fails to improve parent engagement.</w:t>
            </w:r>
          </w:p>
          <w:p w:rsidR="00F87780" w:rsidRDefault="00F87780" w:rsidP="00F10591">
            <w:r>
              <w:t>Therefore time and money to impact = NFA next term.</w:t>
            </w:r>
          </w:p>
        </w:tc>
      </w:tr>
      <w:tr w:rsidR="00F87780" w:rsidTr="00F10591">
        <w:tc>
          <w:tcPr>
            <w:tcW w:w="2024" w:type="dxa"/>
          </w:tcPr>
          <w:p w:rsidR="00F87780" w:rsidRDefault="00F87780" w:rsidP="00F10591">
            <w:r>
              <w:t>Attendance Panels</w:t>
            </w:r>
          </w:p>
        </w:tc>
        <w:tc>
          <w:tcPr>
            <w:tcW w:w="1770" w:type="dxa"/>
          </w:tcPr>
          <w:p w:rsidR="00F87780" w:rsidRDefault="00F87780" w:rsidP="00F10591">
            <w:r>
              <w:t>Whole attendance rate:</w:t>
            </w:r>
          </w:p>
          <w:p w:rsidR="00F87780" w:rsidRDefault="00F87780" w:rsidP="00F10591">
            <w:r>
              <w:t>95% - 94.9%</w:t>
            </w:r>
          </w:p>
        </w:tc>
        <w:tc>
          <w:tcPr>
            <w:tcW w:w="1701" w:type="dxa"/>
          </w:tcPr>
          <w:p w:rsidR="00F87780" w:rsidRDefault="00F87780" w:rsidP="00F10591">
            <w:r>
              <w:t>PP: 92.6% - 92.9%</w:t>
            </w:r>
          </w:p>
        </w:tc>
        <w:tc>
          <w:tcPr>
            <w:tcW w:w="1843" w:type="dxa"/>
          </w:tcPr>
          <w:p w:rsidR="00F87780" w:rsidRDefault="00F87780" w:rsidP="00F10591">
            <w:r>
              <w:t>75.4% - 74.7%</w:t>
            </w:r>
          </w:p>
        </w:tc>
        <w:tc>
          <w:tcPr>
            <w:tcW w:w="1904" w:type="dxa"/>
          </w:tcPr>
          <w:p w:rsidR="00F87780" w:rsidRDefault="00F87780" w:rsidP="00F10591">
            <w:r>
              <w:t xml:space="preserve">Again – overall no impact – but 5/9 </w:t>
            </w:r>
            <w:r w:rsidR="00992562">
              <w:t>improved</w:t>
            </w:r>
            <w:r>
              <w:t xml:space="preserve"> attendance following attendance panel and two improved significantly by over 10%.</w:t>
            </w:r>
          </w:p>
          <w:p w:rsidR="00F87780" w:rsidRDefault="00F87780" w:rsidP="00F10591"/>
          <w:p w:rsidR="00F87780" w:rsidRDefault="00F87780" w:rsidP="00F10591">
            <w:r>
              <w:t xml:space="preserve">Very time consuming – but beneficial going forward if only to capture two students.  Additional benefits includes direct parent engagement and the Opportunity to listen to barriers.  Also gives concrete evidence for </w:t>
            </w:r>
            <w:r>
              <w:lastRenderedPageBreak/>
              <w:t>referral to MECES. Will continue.</w:t>
            </w:r>
          </w:p>
        </w:tc>
      </w:tr>
    </w:tbl>
    <w:p w:rsidR="00F87780" w:rsidRDefault="00F87780" w:rsidP="00F87780"/>
    <w:p w:rsidR="00F87780" w:rsidRPr="00F60102" w:rsidRDefault="00F87780" w:rsidP="00F87780">
      <w:pPr>
        <w:rPr>
          <w:b/>
        </w:rPr>
      </w:pPr>
      <w:r w:rsidRPr="00F60102">
        <w:rPr>
          <w:b/>
        </w:rPr>
        <w:t>Categories attendance – current</w:t>
      </w:r>
      <w:r>
        <w:rPr>
          <w:b/>
        </w:rPr>
        <w:t>/this time last year</w:t>
      </w:r>
      <w:r w:rsidRPr="00F60102">
        <w:rPr>
          <w:b/>
        </w:rPr>
        <w:t>:</w:t>
      </w:r>
    </w:p>
    <w:p w:rsidR="00F87780" w:rsidRDefault="00F87780" w:rsidP="00F877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2284"/>
        <w:gridCol w:w="2284"/>
        <w:gridCol w:w="2141"/>
      </w:tblGrid>
      <w:tr w:rsidR="00F87780" w:rsidTr="00F10591">
        <w:tc>
          <w:tcPr>
            <w:tcW w:w="2369" w:type="dxa"/>
          </w:tcPr>
          <w:p w:rsidR="00F87780" w:rsidRDefault="00F87780" w:rsidP="00F10591">
            <w:r>
              <w:t>Cohort</w:t>
            </w:r>
          </w:p>
        </w:tc>
        <w:tc>
          <w:tcPr>
            <w:tcW w:w="2348" w:type="dxa"/>
          </w:tcPr>
          <w:p w:rsidR="00F87780" w:rsidRDefault="00F87780" w:rsidP="00F10591">
            <w:r>
              <w:t xml:space="preserve">Now </w:t>
            </w:r>
          </w:p>
        </w:tc>
        <w:tc>
          <w:tcPr>
            <w:tcW w:w="2348" w:type="dxa"/>
          </w:tcPr>
          <w:p w:rsidR="00F87780" w:rsidRDefault="00F87780" w:rsidP="00F10591">
            <w:r>
              <w:t xml:space="preserve">This time last year </w:t>
            </w:r>
          </w:p>
        </w:tc>
        <w:tc>
          <w:tcPr>
            <w:tcW w:w="2177" w:type="dxa"/>
          </w:tcPr>
          <w:p w:rsidR="00F87780" w:rsidRDefault="00F87780" w:rsidP="00F10591">
            <w:r>
              <w:t xml:space="preserve">Analysis </w:t>
            </w:r>
          </w:p>
        </w:tc>
      </w:tr>
      <w:tr w:rsidR="00F87780" w:rsidTr="00F10591">
        <w:tc>
          <w:tcPr>
            <w:tcW w:w="2369" w:type="dxa"/>
          </w:tcPr>
          <w:p w:rsidR="00F87780" w:rsidRDefault="00F87780" w:rsidP="00F10591">
            <w:r>
              <w:t>Whole school</w:t>
            </w:r>
          </w:p>
        </w:tc>
        <w:tc>
          <w:tcPr>
            <w:tcW w:w="2348" w:type="dxa"/>
          </w:tcPr>
          <w:p w:rsidR="00F87780" w:rsidRDefault="00F87780" w:rsidP="00F10591">
            <w:r>
              <w:t>94.9%</w:t>
            </w:r>
          </w:p>
          <w:p w:rsidR="00F87780" w:rsidRDefault="00F87780" w:rsidP="00F10591"/>
        </w:tc>
        <w:tc>
          <w:tcPr>
            <w:tcW w:w="2348" w:type="dxa"/>
          </w:tcPr>
          <w:p w:rsidR="00F87780" w:rsidRDefault="00F87780" w:rsidP="00F10591">
            <w:r>
              <w:t>94.5%</w:t>
            </w:r>
          </w:p>
        </w:tc>
        <w:tc>
          <w:tcPr>
            <w:tcW w:w="2177" w:type="dxa"/>
          </w:tcPr>
          <w:p w:rsidR="00F87780" w:rsidRDefault="00F87780" w:rsidP="00F10591">
            <w:r>
              <w:t>Incremental marginal gain.</w:t>
            </w:r>
          </w:p>
        </w:tc>
      </w:tr>
      <w:tr w:rsidR="00F87780" w:rsidTr="00F10591">
        <w:tc>
          <w:tcPr>
            <w:tcW w:w="2369" w:type="dxa"/>
          </w:tcPr>
          <w:p w:rsidR="00F87780" w:rsidRDefault="00F87780" w:rsidP="00F10591">
            <w:r>
              <w:t>Boys</w:t>
            </w:r>
          </w:p>
        </w:tc>
        <w:tc>
          <w:tcPr>
            <w:tcW w:w="2348" w:type="dxa"/>
          </w:tcPr>
          <w:p w:rsidR="00F87780" w:rsidRDefault="00F87780" w:rsidP="00F10591">
            <w:r>
              <w:t>95.1%</w:t>
            </w:r>
          </w:p>
        </w:tc>
        <w:tc>
          <w:tcPr>
            <w:tcW w:w="2348" w:type="dxa"/>
          </w:tcPr>
          <w:p w:rsidR="00F87780" w:rsidRDefault="00F87780" w:rsidP="00F10591">
            <w:r>
              <w:t>94.7%</w:t>
            </w:r>
          </w:p>
        </w:tc>
        <w:tc>
          <w:tcPr>
            <w:tcW w:w="2177" w:type="dxa"/>
          </w:tcPr>
          <w:p w:rsidR="00F87780" w:rsidRDefault="00F87780" w:rsidP="00F10591">
            <w:r>
              <w:t>Incremental marginal gain.</w:t>
            </w:r>
          </w:p>
        </w:tc>
      </w:tr>
      <w:tr w:rsidR="00F87780" w:rsidTr="00F10591">
        <w:tc>
          <w:tcPr>
            <w:tcW w:w="2369" w:type="dxa"/>
          </w:tcPr>
          <w:p w:rsidR="00F87780" w:rsidRDefault="00F87780" w:rsidP="00F10591">
            <w:r>
              <w:t>Girls</w:t>
            </w:r>
          </w:p>
        </w:tc>
        <w:tc>
          <w:tcPr>
            <w:tcW w:w="2348" w:type="dxa"/>
          </w:tcPr>
          <w:p w:rsidR="00F87780" w:rsidRDefault="00F87780" w:rsidP="00F10591">
            <w:r>
              <w:t>94.8%</w:t>
            </w:r>
          </w:p>
        </w:tc>
        <w:tc>
          <w:tcPr>
            <w:tcW w:w="2348" w:type="dxa"/>
          </w:tcPr>
          <w:p w:rsidR="00F87780" w:rsidRDefault="00F87780" w:rsidP="00F10591">
            <w:r>
              <w:t>94.4%</w:t>
            </w:r>
          </w:p>
        </w:tc>
        <w:tc>
          <w:tcPr>
            <w:tcW w:w="2177" w:type="dxa"/>
          </w:tcPr>
          <w:p w:rsidR="00F87780" w:rsidRDefault="00F87780" w:rsidP="00F10591">
            <w:r>
              <w:t>Incremental marginal gain.</w:t>
            </w:r>
          </w:p>
        </w:tc>
      </w:tr>
      <w:tr w:rsidR="00F87780" w:rsidTr="00F10591">
        <w:tc>
          <w:tcPr>
            <w:tcW w:w="2369" w:type="dxa"/>
          </w:tcPr>
          <w:p w:rsidR="00F87780" w:rsidRDefault="00F87780" w:rsidP="00F10591">
            <w:r>
              <w:t>LAC</w:t>
            </w:r>
          </w:p>
        </w:tc>
        <w:tc>
          <w:tcPr>
            <w:tcW w:w="2348" w:type="dxa"/>
          </w:tcPr>
          <w:p w:rsidR="00F87780" w:rsidRDefault="00F87780" w:rsidP="00F10591">
            <w:r>
              <w:t>88.6%</w:t>
            </w:r>
          </w:p>
        </w:tc>
        <w:tc>
          <w:tcPr>
            <w:tcW w:w="2348" w:type="dxa"/>
          </w:tcPr>
          <w:p w:rsidR="00F87780" w:rsidRDefault="00F87780" w:rsidP="00F10591">
            <w:r>
              <w:t>99.3%</w:t>
            </w:r>
          </w:p>
        </w:tc>
        <w:tc>
          <w:tcPr>
            <w:tcW w:w="2177" w:type="dxa"/>
          </w:tcPr>
          <w:p w:rsidR="00F87780" w:rsidRDefault="00F87780" w:rsidP="00F10591">
            <w:r>
              <w:t>1 student = 100%; 2</w:t>
            </w:r>
            <w:r w:rsidRPr="0084368E">
              <w:rPr>
                <w:vertAlign w:val="superscript"/>
              </w:rPr>
              <w:t>nd</w:t>
            </w:r>
            <w:r>
              <w:t xml:space="preserve"> student became LAC with attendance at 66% - 100% since being taken into care.</w:t>
            </w:r>
          </w:p>
        </w:tc>
      </w:tr>
      <w:tr w:rsidR="00F87780" w:rsidTr="00F10591">
        <w:tc>
          <w:tcPr>
            <w:tcW w:w="2369" w:type="dxa"/>
          </w:tcPr>
          <w:p w:rsidR="00F87780" w:rsidRDefault="00F87780" w:rsidP="00F10591">
            <w:r>
              <w:t>PP</w:t>
            </w:r>
          </w:p>
        </w:tc>
        <w:tc>
          <w:tcPr>
            <w:tcW w:w="2348" w:type="dxa"/>
          </w:tcPr>
          <w:p w:rsidR="00F87780" w:rsidRDefault="00F87780" w:rsidP="00F10591">
            <w:r>
              <w:t>92.6%</w:t>
            </w:r>
          </w:p>
        </w:tc>
        <w:tc>
          <w:tcPr>
            <w:tcW w:w="2348" w:type="dxa"/>
          </w:tcPr>
          <w:p w:rsidR="00F87780" w:rsidRDefault="00F87780" w:rsidP="00F10591">
            <w:r>
              <w:t>91.4%</w:t>
            </w:r>
          </w:p>
        </w:tc>
        <w:tc>
          <w:tcPr>
            <w:tcW w:w="2177" w:type="dxa"/>
          </w:tcPr>
          <w:p w:rsidR="00F87780" w:rsidRDefault="00F87780" w:rsidP="00F10591">
            <w:r>
              <w:t>Incremental marginal gain.</w:t>
            </w:r>
          </w:p>
        </w:tc>
      </w:tr>
      <w:tr w:rsidR="00F87780" w:rsidTr="00F10591">
        <w:tc>
          <w:tcPr>
            <w:tcW w:w="2369" w:type="dxa"/>
          </w:tcPr>
          <w:p w:rsidR="00F87780" w:rsidRDefault="00F87780" w:rsidP="00F10591">
            <w:r>
              <w:t>SEND</w:t>
            </w:r>
          </w:p>
        </w:tc>
        <w:tc>
          <w:tcPr>
            <w:tcW w:w="2348" w:type="dxa"/>
          </w:tcPr>
          <w:p w:rsidR="00F87780" w:rsidRDefault="00F87780" w:rsidP="00F10591">
            <w:r>
              <w:t>93.3%</w:t>
            </w:r>
          </w:p>
        </w:tc>
        <w:tc>
          <w:tcPr>
            <w:tcW w:w="2348" w:type="dxa"/>
          </w:tcPr>
          <w:p w:rsidR="00F87780" w:rsidRDefault="00F87780" w:rsidP="00F10591">
            <w:r>
              <w:t>93.1%</w:t>
            </w:r>
          </w:p>
        </w:tc>
        <w:tc>
          <w:tcPr>
            <w:tcW w:w="2177" w:type="dxa"/>
          </w:tcPr>
          <w:p w:rsidR="00F87780" w:rsidRDefault="00F87780" w:rsidP="00F10591">
            <w:r>
              <w:t>Incremental marginal gain.</w:t>
            </w:r>
          </w:p>
        </w:tc>
      </w:tr>
      <w:tr w:rsidR="00F87780" w:rsidTr="00F10591">
        <w:tc>
          <w:tcPr>
            <w:tcW w:w="2369" w:type="dxa"/>
          </w:tcPr>
          <w:p w:rsidR="00F87780" w:rsidRDefault="00F87780" w:rsidP="00F10591">
            <w:r>
              <w:t>EAL</w:t>
            </w:r>
          </w:p>
        </w:tc>
        <w:tc>
          <w:tcPr>
            <w:tcW w:w="2348" w:type="dxa"/>
          </w:tcPr>
          <w:p w:rsidR="00F87780" w:rsidRDefault="00F87780" w:rsidP="00F10591">
            <w:r>
              <w:t>95.1%</w:t>
            </w:r>
          </w:p>
        </w:tc>
        <w:tc>
          <w:tcPr>
            <w:tcW w:w="2348" w:type="dxa"/>
          </w:tcPr>
          <w:p w:rsidR="00F87780" w:rsidRDefault="00F87780" w:rsidP="00F10591">
            <w:r>
              <w:t>94%</w:t>
            </w:r>
          </w:p>
        </w:tc>
        <w:tc>
          <w:tcPr>
            <w:tcW w:w="2177" w:type="dxa"/>
          </w:tcPr>
          <w:p w:rsidR="00F87780" w:rsidRDefault="00F87780" w:rsidP="00F10591">
            <w:r>
              <w:t>Incremental marginal gain.</w:t>
            </w:r>
          </w:p>
        </w:tc>
      </w:tr>
      <w:tr w:rsidR="00F87780" w:rsidTr="00F10591">
        <w:tc>
          <w:tcPr>
            <w:tcW w:w="2369" w:type="dxa"/>
          </w:tcPr>
          <w:p w:rsidR="00F87780" w:rsidRDefault="00F87780" w:rsidP="00F10591">
            <w:r>
              <w:t>Oasis</w:t>
            </w:r>
          </w:p>
        </w:tc>
        <w:tc>
          <w:tcPr>
            <w:tcW w:w="2348" w:type="dxa"/>
          </w:tcPr>
          <w:p w:rsidR="00F87780" w:rsidRDefault="00F87780" w:rsidP="00F10591">
            <w:r>
              <w:t>89.8%</w:t>
            </w:r>
          </w:p>
        </w:tc>
        <w:tc>
          <w:tcPr>
            <w:tcW w:w="2348" w:type="dxa"/>
          </w:tcPr>
          <w:p w:rsidR="00F87780" w:rsidRDefault="00F87780" w:rsidP="00F10591">
            <w:r>
              <w:t>94.5%</w:t>
            </w:r>
          </w:p>
        </w:tc>
        <w:tc>
          <w:tcPr>
            <w:tcW w:w="2177" w:type="dxa"/>
          </w:tcPr>
          <w:p w:rsidR="00F87780" w:rsidRDefault="00F87780" w:rsidP="00F10591">
            <w:r>
              <w:t>New influx of younger students – starting afresh with known anxious school refusers.</w:t>
            </w:r>
          </w:p>
          <w:p w:rsidR="00F87780" w:rsidRDefault="00F87780" w:rsidP="00F10591">
            <w:r>
              <w:t xml:space="preserve">Started the year with 3 KS3 students now have </w:t>
            </w:r>
            <w:r w:rsidR="00992562">
              <w:t>10</w:t>
            </w:r>
            <w:r>
              <w:t xml:space="preserve"> KS3 students attending The oasis on a regular basis. This Strategy is a slow burner because Julie is dealing with mental health issues as barriers on top of whatever else be presenting as an attendance issue.</w:t>
            </w:r>
          </w:p>
        </w:tc>
      </w:tr>
    </w:tbl>
    <w:p w:rsidR="00F87780" w:rsidRDefault="00F87780" w:rsidP="00F87780"/>
    <w:p w:rsidR="00F87780" w:rsidRDefault="00F87780"/>
    <w:sectPr w:rsidR="00F87780" w:rsidSect="008E5A48">
      <w:pgSz w:w="11906" w:h="16838" w:code="9"/>
      <w:pgMar w:top="1440" w:right="1440" w:bottom="1440" w:left="1440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80"/>
    <w:rsid w:val="000F43A3"/>
    <w:rsid w:val="00112913"/>
    <w:rsid w:val="001A79F9"/>
    <w:rsid w:val="001B5656"/>
    <w:rsid w:val="001E7923"/>
    <w:rsid w:val="00274DA6"/>
    <w:rsid w:val="00346B35"/>
    <w:rsid w:val="00477E77"/>
    <w:rsid w:val="00642A90"/>
    <w:rsid w:val="006F3D62"/>
    <w:rsid w:val="008E5A48"/>
    <w:rsid w:val="008F43E1"/>
    <w:rsid w:val="00992562"/>
    <w:rsid w:val="00A52A97"/>
    <w:rsid w:val="00AE1F07"/>
    <w:rsid w:val="00AE4184"/>
    <w:rsid w:val="00B9615C"/>
    <w:rsid w:val="00B96D1D"/>
    <w:rsid w:val="00BB23B6"/>
    <w:rsid w:val="00C8205D"/>
    <w:rsid w:val="00CC5B07"/>
    <w:rsid w:val="00F17442"/>
    <w:rsid w:val="00F8320D"/>
    <w:rsid w:val="00F8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6EF04-D76E-4229-B77C-4EA2D184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C2EDF71E</Template>
  <TotalTime>1</TotalTime>
  <Pages>4</Pages>
  <Words>514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J.Comerford</dc:creator>
  <cp:keywords/>
  <dc:description/>
  <cp:lastModifiedBy>K.Whordley</cp:lastModifiedBy>
  <cp:revision>2</cp:revision>
  <dcterms:created xsi:type="dcterms:W3CDTF">2017-06-29T13:52:00Z</dcterms:created>
  <dcterms:modified xsi:type="dcterms:W3CDTF">2017-06-29T13:52:00Z</dcterms:modified>
</cp:coreProperties>
</file>