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BA0A1" w14:textId="77777777" w:rsidR="00B03D37" w:rsidRDefault="00B03D37" w:rsidP="00B03D37">
      <w:pPr>
        <w:autoSpaceDE w:val="0"/>
        <w:autoSpaceDN w:val="0"/>
        <w:adjustRightInd w:val="0"/>
        <w:spacing w:after="0" w:line="240" w:lineRule="auto"/>
        <w:rPr>
          <w:color w:val="000000"/>
        </w:rPr>
      </w:pPr>
    </w:p>
    <w:p w14:paraId="459DEF9F" w14:textId="77777777" w:rsidR="008B3B8D" w:rsidRDefault="008B3B8D" w:rsidP="00E66E86">
      <w:pPr>
        <w:spacing w:after="0" w:line="240" w:lineRule="auto"/>
        <w:jc w:val="center"/>
        <w:rPr>
          <w:b/>
          <w:sz w:val="28"/>
          <w:szCs w:val="28"/>
        </w:rPr>
      </w:pPr>
    </w:p>
    <w:p w14:paraId="56FE9042" w14:textId="77777777" w:rsidR="008B3B8D" w:rsidRDefault="008B3B8D" w:rsidP="00E66E86">
      <w:pPr>
        <w:spacing w:after="0" w:line="240" w:lineRule="auto"/>
        <w:jc w:val="center"/>
        <w:rPr>
          <w:b/>
          <w:sz w:val="28"/>
          <w:szCs w:val="28"/>
        </w:rPr>
      </w:pPr>
    </w:p>
    <w:p w14:paraId="7EF12A96" w14:textId="77777777" w:rsidR="008B3B8D" w:rsidRDefault="008B3B8D" w:rsidP="00E66E86">
      <w:pPr>
        <w:spacing w:after="0" w:line="240" w:lineRule="auto"/>
        <w:jc w:val="center"/>
        <w:rPr>
          <w:b/>
          <w:sz w:val="28"/>
          <w:szCs w:val="28"/>
        </w:rPr>
      </w:pPr>
    </w:p>
    <w:p w14:paraId="29E20982" w14:textId="77777777" w:rsidR="008B3B8D" w:rsidRDefault="008B3B8D" w:rsidP="00E66E86">
      <w:pPr>
        <w:spacing w:after="0" w:line="240" w:lineRule="auto"/>
        <w:jc w:val="center"/>
        <w:rPr>
          <w:b/>
          <w:sz w:val="28"/>
          <w:szCs w:val="28"/>
        </w:rPr>
      </w:pPr>
    </w:p>
    <w:p w14:paraId="3B6BD6CC" w14:textId="77777777" w:rsidR="00E66E86" w:rsidRPr="00E66E86" w:rsidRDefault="00E66E86" w:rsidP="00E66E86">
      <w:pPr>
        <w:spacing w:after="0" w:line="240" w:lineRule="auto"/>
        <w:jc w:val="center"/>
        <w:rPr>
          <w:b/>
          <w:sz w:val="28"/>
          <w:szCs w:val="28"/>
        </w:rPr>
      </w:pPr>
      <w:r w:rsidRPr="00E66E86">
        <w:rPr>
          <w:b/>
          <w:sz w:val="28"/>
          <w:szCs w:val="28"/>
        </w:rPr>
        <w:t>Multi Academy Trust / Academy Internal Controls Evaluation (ICE) Service</w:t>
      </w:r>
    </w:p>
    <w:p w14:paraId="331C20E2" w14:textId="77777777" w:rsidR="00E66E86" w:rsidRPr="00E66E86" w:rsidRDefault="00E66E86" w:rsidP="00E66E86">
      <w:pPr>
        <w:spacing w:after="0" w:line="240" w:lineRule="auto"/>
        <w:jc w:val="center"/>
        <w:rPr>
          <w:b/>
          <w:sz w:val="28"/>
          <w:szCs w:val="28"/>
        </w:rPr>
      </w:pPr>
      <w:r w:rsidRPr="00E66E86">
        <w:rPr>
          <w:b/>
          <w:sz w:val="28"/>
          <w:szCs w:val="28"/>
        </w:rPr>
        <w:t>Three Visit Scope of Work</w:t>
      </w:r>
    </w:p>
    <w:p w14:paraId="59265099" w14:textId="77777777" w:rsidR="00E66E86" w:rsidRPr="00E66E86" w:rsidRDefault="00E66E86" w:rsidP="00E66E86">
      <w:pPr>
        <w:spacing w:after="0" w:line="240" w:lineRule="auto"/>
        <w:jc w:val="center"/>
        <w:rPr>
          <w:b/>
          <w:sz w:val="28"/>
          <w:szCs w:val="28"/>
        </w:rPr>
      </w:pPr>
    </w:p>
    <w:p w14:paraId="2DEED6E6" w14:textId="77777777" w:rsidR="00E66E86" w:rsidRPr="00E66E86" w:rsidRDefault="00E66E86" w:rsidP="00E66E86">
      <w:r w:rsidRPr="00E66E86">
        <w:t>EES for Schools provide an Internal Controls Evaluation Service for more than 90 academies at present and are looking to continue to grow this side of the business. The work undertaken in academies is designed to support the following requirements of academy trusts:</w:t>
      </w:r>
    </w:p>
    <w:p w14:paraId="3EB6FCD0" w14:textId="77777777" w:rsidR="00E66E86" w:rsidRPr="00E66E86" w:rsidRDefault="00E66E86" w:rsidP="00E66E86">
      <w:r w:rsidRPr="00E66E86">
        <w:t xml:space="preserve">a) That </w:t>
      </w:r>
      <w:r w:rsidRPr="00E66E86">
        <w:rPr>
          <w:b/>
        </w:rPr>
        <w:t>‘</w:t>
      </w:r>
      <w:r w:rsidRPr="00E66E86">
        <w:rPr>
          <w:b/>
          <w:i/>
        </w:rPr>
        <w:t xml:space="preserve">the trust </w:t>
      </w:r>
      <w:r w:rsidRPr="00E66E86">
        <w:rPr>
          <w:b/>
          <w:i/>
          <w:u w:val="single"/>
        </w:rPr>
        <w:t>must</w:t>
      </w:r>
      <w:r w:rsidRPr="00E66E86">
        <w:rPr>
          <w:b/>
          <w:i/>
        </w:rPr>
        <w:t xml:space="preserve"> have in place a process for checking its financial systems, controls, transactions and risks’,</w:t>
      </w:r>
      <w:r w:rsidRPr="00E66E86">
        <w:rPr>
          <w:i/>
        </w:rPr>
        <w:t xml:space="preserve"> </w:t>
      </w:r>
      <w:r w:rsidRPr="00E66E86">
        <w:t>Section 2.4 of the Academies Financial Handbook. The service we provide supports audit committees or other committees with delegated audit responsibility and/or appointed Responsible Officers in complying with this requirement.</w:t>
      </w:r>
    </w:p>
    <w:p w14:paraId="0D0D8771" w14:textId="77777777" w:rsidR="00E66E86" w:rsidRPr="00E66E86" w:rsidRDefault="00E66E86" w:rsidP="00E66E86">
      <w:r w:rsidRPr="00E66E86">
        <w:t>b) The academies Accounting Officer’s</w:t>
      </w:r>
      <w:r w:rsidRPr="00E66E86">
        <w:rPr>
          <w:b/>
        </w:rPr>
        <w:t xml:space="preserve"> ‘statement on regularity, propriety and compliance’</w:t>
      </w:r>
      <w:r w:rsidRPr="00E66E86">
        <w:t xml:space="preserve"> which must be included in the academy trust’s annual report, Section 4.2.2 of Academies Financial Handbook.</w:t>
      </w:r>
    </w:p>
    <w:p w14:paraId="5B119F4A" w14:textId="77777777" w:rsidR="00E66E86" w:rsidRPr="00E66E86" w:rsidRDefault="00E66E86" w:rsidP="00E66E86">
      <w:r w:rsidRPr="00E66E86">
        <w:t>The standard programme of work includes three on-site visits during an academy’s financial year, which are normally one visit each term. Visit dates would be agreed in advance to try and ensure key academy staff are available which will help each visit run smoothly. Prior to each visit a detailed list of the required supporting information and documentation will be sent to the academy to aid preparation. We also offer a two and a single visit programme of work designed to support academy conversions part way through a financial year or smaller academies, as well as those academies that feel a reduced programme of visits meets their requirements.</w:t>
      </w:r>
    </w:p>
    <w:p w14:paraId="4E18BE49" w14:textId="77777777" w:rsidR="00E66E86" w:rsidRPr="00E66E86" w:rsidRDefault="00E66E86" w:rsidP="00E66E86">
      <w:r w:rsidRPr="00E66E86">
        <w:t xml:space="preserve">Our team of ICE Review Consultants include a number of professionally qualified accountants who have experience of working in both commercial and educational establishments. </w:t>
      </w:r>
    </w:p>
    <w:p w14:paraId="7CAC98D5" w14:textId="0BBB3E7A" w:rsidR="00E66E86" w:rsidRDefault="00E66E86" w:rsidP="00E66E86">
      <w:r w:rsidRPr="00E66E86">
        <w:t xml:space="preserve">Standard Internal Controls Evaluation (ICE) templates are used to review and test an academy’s internal controls and procedures. These templates are regularly reviewed and updated to incorporate legislative changes, updated ESFA guidance, and guidance offered by statutory auditors. The evaluation is designed to provide members/trustees/local governors of academies with a level assurance that appropriate financial controls are in place within the academy trust for which they have responsibility, and include testing of adherence to the approved Schemes of Delegation of Financial Power and compliance with the Academies Financial Handbook. </w:t>
      </w:r>
    </w:p>
    <w:p w14:paraId="250516C3" w14:textId="722E197F" w:rsidR="00E66E86" w:rsidRDefault="00E66E86" w:rsidP="00E66E86">
      <w:r>
        <w:t>A</w:t>
      </w:r>
      <w:r w:rsidRPr="00E66E86">
        <w:t xml:space="preserve"> flexible approach is offered to academies and multi academy trusts, and we will customise our programme of work to suit the requirements of an audit committee.  Additional work can be undertaken if agreed in advance, for which there will be an additional cost.  Any change to the standard programme must be discussed with Jane Monaghan, Senior Review Consultant, by email </w:t>
      </w:r>
      <w:hyperlink r:id="rId9" w:history="1">
        <w:r w:rsidRPr="00E66E86">
          <w:rPr>
            <w:color w:val="0000FF" w:themeColor="hyperlink"/>
            <w:u w:val="single"/>
          </w:rPr>
          <w:t>jane.monaghan2@eesforschools.org</w:t>
        </w:r>
      </w:hyperlink>
      <w:r w:rsidRPr="00E66E86">
        <w:t xml:space="preserve"> or by phoning our helpdesk on 03330 139832.</w:t>
      </w:r>
    </w:p>
    <w:p w14:paraId="440DBA0E" w14:textId="77777777" w:rsidR="008B3B8D" w:rsidRPr="00E66E86" w:rsidRDefault="008B3B8D" w:rsidP="00E66E86"/>
    <w:p w14:paraId="5F939079" w14:textId="77777777" w:rsidR="008B3B8D" w:rsidRDefault="008B3B8D" w:rsidP="00E66E86"/>
    <w:p w14:paraId="4F470D15" w14:textId="77777777" w:rsidR="00E66E86" w:rsidRPr="00E66E86" w:rsidRDefault="00E66E86" w:rsidP="00E66E86">
      <w:r w:rsidRPr="00E66E86">
        <w:t>A brief outline of the standard programme of work for 2017/18 is as follows:</w:t>
      </w:r>
    </w:p>
    <w:p w14:paraId="73CDBB16" w14:textId="77777777" w:rsidR="00E66E86" w:rsidRPr="00E66E86" w:rsidRDefault="00E66E86" w:rsidP="00E66E86">
      <w:pPr>
        <w:rPr>
          <w:b/>
          <w:u w:val="single"/>
        </w:rPr>
      </w:pPr>
      <w:r w:rsidRPr="00E66E86">
        <w:rPr>
          <w:b/>
          <w:u w:val="single"/>
        </w:rPr>
        <w:t>Visit 1</w:t>
      </w:r>
    </w:p>
    <w:p w14:paraId="368F40BD" w14:textId="77777777" w:rsidR="00E66E86" w:rsidRPr="00E66E86" w:rsidRDefault="00E66E86" w:rsidP="00E66E86">
      <w:pPr>
        <w:spacing w:after="0" w:line="240" w:lineRule="auto"/>
        <w:rPr>
          <w:b/>
          <w:i/>
          <w:u w:val="single"/>
        </w:rPr>
      </w:pPr>
      <w:r w:rsidRPr="00E66E86">
        <w:rPr>
          <w:b/>
          <w:i/>
          <w:u w:val="single"/>
        </w:rPr>
        <w:t>A – Governance and Financial Management:</w:t>
      </w:r>
    </w:p>
    <w:p w14:paraId="30B37558" w14:textId="77777777" w:rsidR="00E66E86" w:rsidRPr="00E66E86" w:rsidRDefault="00E66E86" w:rsidP="00E66E86">
      <w:pPr>
        <w:numPr>
          <w:ilvl w:val="0"/>
          <w:numId w:val="23"/>
        </w:numPr>
        <w:spacing w:after="0" w:line="240" w:lineRule="auto"/>
        <w:contextualSpacing/>
        <w:rPr>
          <w:rFonts w:eastAsiaTheme="minorEastAsia"/>
          <w:b/>
          <w:lang w:val="en-US"/>
        </w:rPr>
      </w:pPr>
      <w:r w:rsidRPr="00E66E86">
        <w:rPr>
          <w:rFonts w:eastAsiaTheme="minorEastAsia"/>
          <w:b/>
          <w:lang w:val="en-US"/>
        </w:rPr>
        <w:t xml:space="preserve">Financial Oversight </w:t>
      </w:r>
    </w:p>
    <w:p w14:paraId="6FA96CE9" w14:textId="77777777" w:rsidR="00E66E86" w:rsidRPr="00E66E86" w:rsidRDefault="00E66E86" w:rsidP="00E66E86">
      <w:pPr>
        <w:numPr>
          <w:ilvl w:val="0"/>
          <w:numId w:val="20"/>
        </w:numPr>
        <w:spacing w:after="0" w:line="240" w:lineRule="auto"/>
        <w:rPr>
          <w:rFonts w:eastAsia="Calibri"/>
          <w:lang w:val="en-US"/>
        </w:rPr>
      </w:pPr>
      <w:r w:rsidRPr="00E66E86">
        <w:rPr>
          <w:rFonts w:eastAsia="Calibri"/>
          <w:lang w:val="en-US"/>
        </w:rPr>
        <w:t>appointment of Accounting Officer (newly formed multi academy trusts only)</w:t>
      </w:r>
    </w:p>
    <w:p w14:paraId="51C40C79" w14:textId="77777777" w:rsidR="00E66E86" w:rsidRPr="00E66E86" w:rsidRDefault="00E66E86" w:rsidP="00E66E86">
      <w:pPr>
        <w:numPr>
          <w:ilvl w:val="0"/>
          <w:numId w:val="20"/>
        </w:numPr>
        <w:spacing w:after="0" w:line="240" w:lineRule="auto"/>
        <w:rPr>
          <w:rFonts w:eastAsia="Calibri"/>
          <w:lang w:val="en-US"/>
        </w:rPr>
      </w:pPr>
      <w:r w:rsidRPr="00E66E86">
        <w:rPr>
          <w:rFonts w:eastAsia="Calibri"/>
          <w:lang w:val="en-US"/>
        </w:rPr>
        <w:t>appointment of statutory auditors (newly formed multi academy trusts only)</w:t>
      </w:r>
    </w:p>
    <w:p w14:paraId="691F5219" w14:textId="77777777" w:rsidR="00E66E86" w:rsidRPr="00E66E86" w:rsidRDefault="00E66E86" w:rsidP="00E66E86">
      <w:pPr>
        <w:numPr>
          <w:ilvl w:val="0"/>
          <w:numId w:val="20"/>
        </w:numPr>
        <w:spacing w:after="0" w:line="240" w:lineRule="auto"/>
        <w:rPr>
          <w:rFonts w:eastAsiaTheme="minorEastAsia"/>
          <w:lang w:val="en-US"/>
        </w:rPr>
      </w:pPr>
      <w:r w:rsidRPr="00E66E86">
        <w:rPr>
          <w:rFonts w:eastAsiaTheme="minorEastAsia"/>
          <w:lang w:val="en-US"/>
        </w:rPr>
        <w:t>Scheme of Delegation of Financial Powers</w:t>
      </w:r>
    </w:p>
    <w:p w14:paraId="719D889B" w14:textId="77777777" w:rsidR="00E66E86" w:rsidRPr="00E66E86" w:rsidRDefault="00E66E86" w:rsidP="00E66E86">
      <w:pPr>
        <w:numPr>
          <w:ilvl w:val="0"/>
          <w:numId w:val="20"/>
        </w:numPr>
        <w:spacing w:after="0" w:line="240" w:lineRule="auto"/>
        <w:rPr>
          <w:rFonts w:eastAsiaTheme="minorEastAsia"/>
          <w:lang w:val="en-US"/>
        </w:rPr>
      </w:pPr>
      <w:proofErr w:type="spellStart"/>
      <w:r w:rsidRPr="00E66E86">
        <w:rPr>
          <w:rFonts w:eastAsiaTheme="minorEastAsia"/>
          <w:lang w:val="en-US"/>
        </w:rPr>
        <w:t>authorised</w:t>
      </w:r>
      <w:proofErr w:type="spellEnd"/>
      <w:r w:rsidRPr="00E66E86">
        <w:rPr>
          <w:rFonts w:eastAsiaTheme="minorEastAsia"/>
          <w:lang w:val="en-US"/>
        </w:rPr>
        <w:t xml:space="preserve"> signatories / specimen signature list</w:t>
      </w:r>
    </w:p>
    <w:p w14:paraId="438EA85B" w14:textId="77777777" w:rsidR="00E66E86" w:rsidRPr="00E66E86" w:rsidRDefault="00E66E86" w:rsidP="00E66E86">
      <w:pPr>
        <w:numPr>
          <w:ilvl w:val="0"/>
          <w:numId w:val="20"/>
        </w:numPr>
        <w:spacing w:after="0" w:line="240" w:lineRule="auto"/>
        <w:rPr>
          <w:rFonts w:eastAsiaTheme="minorEastAsia"/>
          <w:lang w:val="en-US"/>
        </w:rPr>
      </w:pPr>
      <w:r w:rsidRPr="00E66E86">
        <w:rPr>
          <w:rFonts w:eastAsiaTheme="minorEastAsia"/>
          <w:lang w:val="en-US"/>
        </w:rPr>
        <w:t>finance governance and Terms of Reference</w:t>
      </w:r>
    </w:p>
    <w:p w14:paraId="52DD8340" w14:textId="77777777" w:rsidR="00E66E86" w:rsidRPr="00E66E86" w:rsidRDefault="00E66E86" w:rsidP="00E66E86">
      <w:pPr>
        <w:numPr>
          <w:ilvl w:val="0"/>
          <w:numId w:val="24"/>
        </w:numPr>
        <w:spacing w:after="0" w:line="240" w:lineRule="auto"/>
        <w:contextualSpacing/>
        <w:rPr>
          <w:rFonts w:eastAsiaTheme="minorEastAsia"/>
          <w:b/>
          <w:lang w:val="en-US"/>
        </w:rPr>
      </w:pPr>
      <w:r w:rsidRPr="00E66E86">
        <w:rPr>
          <w:rFonts w:eastAsiaTheme="minorEastAsia"/>
          <w:b/>
          <w:lang w:val="en-US"/>
        </w:rPr>
        <w:t xml:space="preserve">Financial Planning and Monitoring  </w:t>
      </w:r>
    </w:p>
    <w:p w14:paraId="17010013"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budget approval</w:t>
      </w:r>
    </w:p>
    <w:p w14:paraId="1C6C99DE"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forward planning</w:t>
      </w:r>
    </w:p>
    <w:p w14:paraId="0D579FA3"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investment policy (newly formed multi academy trusts only)</w:t>
      </w:r>
    </w:p>
    <w:p w14:paraId="7593D65A" w14:textId="77777777" w:rsidR="00E66E86" w:rsidRPr="00E66E86" w:rsidRDefault="00E66E86" w:rsidP="00E66E86">
      <w:pPr>
        <w:numPr>
          <w:ilvl w:val="0"/>
          <w:numId w:val="25"/>
        </w:numPr>
        <w:spacing w:after="0" w:line="240" w:lineRule="auto"/>
        <w:contextualSpacing/>
        <w:rPr>
          <w:rFonts w:eastAsiaTheme="minorEastAsia"/>
          <w:b/>
          <w:lang w:val="en-US"/>
        </w:rPr>
      </w:pPr>
      <w:r w:rsidRPr="00E66E86">
        <w:rPr>
          <w:rFonts w:eastAsiaTheme="minorEastAsia"/>
          <w:b/>
          <w:lang w:val="en-US"/>
        </w:rPr>
        <w:t>Transparency</w:t>
      </w:r>
    </w:p>
    <w:p w14:paraId="439325FE" w14:textId="77777777" w:rsidR="00E66E86" w:rsidRPr="00E66E86" w:rsidRDefault="00E66E86" w:rsidP="00E66E86">
      <w:pPr>
        <w:numPr>
          <w:ilvl w:val="1"/>
          <w:numId w:val="25"/>
        </w:numPr>
        <w:spacing w:after="0" w:line="240" w:lineRule="auto"/>
        <w:rPr>
          <w:rFonts w:eastAsia="Calibri"/>
          <w:lang w:val="en-US"/>
        </w:rPr>
      </w:pPr>
      <w:r w:rsidRPr="00E66E86">
        <w:rPr>
          <w:rFonts w:eastAsia="Calibri"/>
          <w:lang w:val="en-US"/>
        </w:rPr>
        <w:t>Get Information About Schools system</w:t>
      </w:r>
    </w:p>
    <w:p w14:paraId="7F255F4E" w14:textId="77777777" w:rsidR="00E66E86" w:rsidRPr="00E66E86" w:rsidRDefault="00E66E86" w:rsidP="00E66E86">
      <w:pPr>
        <w:numPr>
          <w:ilvl w:val="1"/>
          <w:numId w:val="9"/>
        </w:numPr>
        <w:spacing w:after="0" w:line="240" w:lineRule="auto"/>
        <w:rPr>
          <w:rFonts w:eastAsia="Calibri"/>
          <w:lang w:val="en-US"/>
        </w:rPr>
      </w:pPr>
      <w:r w:rsidRPr="00E66E86">
        <w:rPr>
          <w:rFonts w:eastAsia="Calibri"/>
          <w:lang w:val="en-US"/>
        </w:rPr>
        <w:t>member &amp; trustee declaration of interests</w:t>
      </w:r>
    </w:p>
    <w:p w14:paraId="57C631F7" w14:textId="77777777" w:rsidR="00E66E86" w:rsidRPr="00E66E86" w:rsidRDefault="00E66E86" w:rsidP="00E66E86">
      <w:pPr>
        <w:numPr>
          <w:ilvl w:val="1"/>
          <w:numId w:val="9"/>
        </w:numPr>
        <w:spacing w:after="0" w:line="240" w:lineRule="auto"/>
        <w:rPr>
          <w:rFonts w:eastAsia="Calibri"/>
          <w:lang w:val="en-US"/>
        </w:rPr>
      </w:pPr>
      <w:r w:rsidRPr="00E66E86">
        <w:rPr>
          <w:rFonts w:eastAsia="Calibri"/>
          <w:lang w:val="en-US"/>
        </w:rPr>
        <w:t>staff declaration of interests</w:t>
      </w:r>
    </w:p>
    <w:p w14:paraId="6977A985" w14:textId="77777777" w:rsidR="00E66E86" w:rsidRPr="00E66E86" w:rsidRDefault="00E66E86" w:rsidP="00E66E86">
      <w:pPr>
        <w:numPr>
          <w:ilvl w:val="1"/>
          <w:numId w:val="9"/>
        </w:numPr>
        <w:spacing w:after="0" w:line="240" w:lineRule="auto"/>
        <w:rPr>
          <w:rFonts w:eastAsia="Calibri"/>
          <w:lang w:val="en-US"/>
        </w:rPr>
      </w:pPr>
      <w:r w:rsidRPr="00E66E86">
        <w:rPr>
          <w:rFonts w:eastAsia="Calibri"/>
          <w:lang w:val="en-US"/>
        </w:rPr>
        <w:t>disclosure of interests at meetings</w:t>
      </w:r>
    </w:p>
    <w:p w14:paraId="2EAF3686" w14:textId="77777777" w:rsidR="00E66E86" w:rsidRPr="00E66E86" w:rsidRDefault="00E66E86" w:rsidP="00E66E86">
      <w:pPr>
        <w:numPr>
          <w:ilvl w:val="1"/>
          <w:numId w:val="9"/>
        </w:numPr>
        <w:spacing w:after="0" w:line="240" w:lineRule="auto"/>
        <w:rPr>
          <w:rFonts w:eastAsia="Calibri"/>
          <w:lang w:val="en-US"/>
        </w:rPr>
      </w:pPr>
      <w:r w:rsidRPr="00E66E86">
        <w:rPr>
          <w:rFonts w:eastAsia="Calibri"/>
          <w:lang w:val="en-US"/>
        </w:rPr>
        <w:t>managing connected party relationships</w:t>
      </w:r>
    </w:p>
    <w:p w14:paraId="12CB790A" w14:textId="77777777" w:rsidR="00E66E86" w:rsidRPr="00E66E86" w:rsidRDefault="00E66E86" w:rsidP="00E66E86">
      <w:pPr>
        <w:numPr>
          <w:ilvl w:val="1"/>
          <w:numId w:val="9"/>
        </w:numPr>
        <w:spacing w:after="0" w:line="240" w:lineRule="auto"/>
        <w:rPr>
          <w:rFonts w:eastAsia="Calibri"/>
          <w:lang w:val="en-US"/>
        </w:rPr>
      </w:pPr>
      <w:r w:rsidRPr="00E66E86">
        <w:rPr>
          <w:rFonts w:eastAsia="Calibri"/>
          <w:lang w:val="en-US"/>
        </w:rPr>
        <w:t>publication of member &amp; trustee interests and other required information on the academy / multi academy trust website</w:t>
      </w:r>
    </w:p>
    <w:p w14:paraId="22EF3D9D" w14:textId="77777777" w:rsidR="00E66E86" w:rsidRPr="00E66E86" w:rsidRDefault="00E66E86" w:rsidP="00E66E86">
      <w:pPr>
        <w:numPr>
          <w:ilvl w:val="0"/>
          <w:numId w:val="26"/>
        </w:numPr>
        <w:spacing w:after="0" w:line="240" w:lineRule="auto"/>
        <w:contextualSpacing/>
        <w:rPr>
          <w:rFonts w:eastAsiaTheme="minorEastAsia"/>
          <w:b/>
          <w:lang w:val="en-US"/>
        </w:rPr>
      </w:pPr>
      <w:r w:rsidRPr="00E66E86">
        <w:rPr>
          <w:rFonts w:eastAsiaTheme="minorEastAsia"/>
          <w:b/>
          <w:lang w:val="en-US"/>
        </w:rPr>
        <w:t>Gifts (received and given)</w:t>
      </w:r>
    </w:p>
    <w:p w14:paraId="4F1B86BA"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policy</w:t>
      </w:r>
    </w:p>
    <w:p w14:paraId="6E0C6D7A"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register</w:t>
      </w:r>
    </w:p>
    <w:p w14:paraId="6DD0CE57" w14:textId="77777777" w:rsidR="00E66E86" w:rsidRPr="00E66E86" w:rsidRDefault="00E66E86" w:rsidP="00E66E86">
      <w:pPr>
        <w:numPr>
          <w:ilvl w:val="0"/>
          <w:numId w:val="9"/>
        </w:numPr>
        <w:spacing w:after="0" w:line="240" w:lineRule="auto"/>
        <w:contextualSpacing/>
        <w:rPr>
          <w:rFonts w:eastAsiaTheme="minorEastAsia"/>
          <w:b/>
          <w:lang w:val="en-US"/>
        </w:rPr>
      </w:pPr>
      <w:r w:rsidRPr="00E66E86">
        <w:rPr>
          <w:rFonts w:eastAsiaTheme="minorEastAsia"/>
          <w:b/>
          <w:lang w:val="en-US"/>
        </w:rPr>
        <w:t>Expenses</w:t>
      </w:r>
    </w:p>
    <w:p w14:paraId="7E88C488"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policy</w:t>
      </w:r>
    </w:p>
    <w:p w14:paraId="5FE88905" w14:textId="77777777" w:rsidR="00E66E86" w:rsidRPr="00E66E86" w:rsidRDefault="00E66E86" w:rsidP="00E66E86">
      <w:pPr>
        <w:numPr>
          <w:ilvl w:val="0"/>
          <w:numId w:val="27"/>
        </w:numPr>
        <w:spacing w:after="0" w:line="240" w:lineRule="auto"/>
        <w:contextualSpacing/>
        <w:rPr>
          <w:rFonts w:eastAsiaTheme="minorEastAsia"/>
          <w:b/>
          <w:lang w:val="en-US"/>
        </w:rPr>
      </w:pPr>
      <w:r w:rsidRPr="00E66E86">
        <w:rPr>
          <w:rFonts w:eastAsiaTheme="minorEastAsia"/>
          <w:b/>
          <w:lang w:val="en-US"/>
        </w:rPr>
        <w:t>Risk Management</w:t>
      </w:r>
    </w:p>
    <w:p w14:paraId="76DD6924"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 xml:space="preserve">Register of Operating Risks and schedule of review </w:t>
      </w:r>
    </w:p>
    <w:p w14:paraId="27179299"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Contingency and Business Continuity Plan</w:t>
      </w:r>
    </w:p>
    <w:p w14:paraId="4E5FCF79" w14:textId="77777777" w:rsidR="00E66E86" w:rsidRPr="00E66E86" w:rsidRDefault="00E66E86" w:rsidP="00E66E86">
      <w:pPr>
        <w:numPr>
          <w:ilvl w:val="0"/>
          <w:numId w:val="30"/>
        </w:numPr>
        <w:spacing w:after="0" w:line="240" w:lineRule="auto"/>
        <w:contextualSpacing/>
        <w:rPr>
          <w:rFonts w:eastAsiaTheme="minorEastAsia"/>
          <w:b/>
          <w:lang w:val="en-US"/>
        </w:rPr>
      </w:pPr>
      <w:r w:rsidRPr="00E66E86">
        <w:rPr>
          <w:rFonts w:eastAsiaTheme="minorEastAsia"/>
          <w:b/>
          <w:lang w:val="en-US"/>
        </w:rPr>
        <w:t>Internal Scrutiny</w:t>
      </w:r>
    </w:p>
    <w:p w14:paraId="4CA73145" w14:textId="77777777" w:rsidR="00E66E86" w:rsidRPr="00E66E86" w:rsidRDefault="00E66E86" w:rsidP="00E66E86">
      <w:pPr>
        <w:numPr>
          <w:ilvl w:val="1"/>
          <w:numId w:val="9"/>
        </w:numPr>
        <w:tabs>
          <w:tab w:val="left" w:pos="993"/>
          <w:tab w:val="left" w:pos="1134"/>
        </w:tabs>
        <w:spacing w:after="0" w:line="240" w:lineRule="auto"/>
        <w:ind w:hanging="306"/>
        <w:contextualSpacing/>
        <w:rPr>
          <w:rFonts w:eastAsiaTheme="minorEastAsia"/>
          <w:lang w:val="en-US"/>
        </w:rPr>
      </w:pPr>
      <w:r w:rsidRPr="00E66E86">
        <w:rPr>
          <w:rFonts w:eastAsiaTheme="minorEastAsia"/>
          <w:lang w:val="en-US"/>
        </w:rPr>
        <w:t xml:space="preserve">audit - governance </w:t>
      </w:r>
    </w:p>
    <w:p w14:paraId="4519F583" w14:textId="77777777" w:rsidR="00E66E86" w:rsidRPr="00E66E86" w:rsidRDefault="00E66E86" w:rsidP="00E66E86">
      <w:pPr>
        <w:numPr>
          <w:ilvl w:val="1"/>
          <w:numId w:val="9"/>
        </w:numPr>
        <w:tabs>
          <w:tab w:val="left" w:pos="993"/>
          <w:tab w:val="left" w:pos="1134"/>
        </w:tabs>
        <w:spacing w:after="0" w:line="240" w:lineRule="auto"/>
        <w:ind w:hanging="306"/>
        <w:contextualSpacing/>
        <w:rPr>
          <w:rFonts w:eastAsiaTheme="minorEastAsia"/>
          <w:lang w:val="en-US"/>
        </w:rPr>
      </w:pPr>
      <w:r w:rsidRPr="00E66E86">
        <w:rPr>
          <w:rFonts w:eastAsiaTheme="minorEastAsia"/>
          <w:lang w:val="en-US"/>
        </w:rPr>
        <w:t>whistleblowing</w:t>
      </w:r>
    </w:p>
    <w:p w14:paraId="0FEC8D71" w14:textId="77777777" w:rsidR="00E66E86" w:rsidRPr="00E66E86" w:rsidRDefault="00E66E86" w:rsidP="00E66E86">
      <w:pPr>
        <w:numPr>
          <w:ilvl w:val="1"/>
          <w:numId w:val="9"/>
        </w:numPr>
        <w:tabs>
          <w:tab w:val="left" w:pos="993"/>
          <w:tab w:val="left" w:pos="1134"/>
        </w:tabs>
        <w:spacing w:after="0" w:line="240" w:lineRule="auto"/>
        <w:ind w:hanging="306"/>
        <w:contextualSpacing/>
        <w:rPr>
          <w:rFonts w:eastAsiaTheme="minorEastAsia"/>
          <w:lang w:val="en-US"/>
        </w:rPr>
      </w:pPr>
      <w:r w:rsidRPr="00E66E86">
        <w:rPr>
          <w:rFonts w:eastAsiaTheme="minorEastAsia"/>
          <w:lang w:val="en-US"/>
        </w:rPr>
        <w:t xml:space="preserve">follow up of previous ‘high priority’ ICE recommendations </w:t>
      </w:r>
    </w:p>
    <w:p w14:paraId="00FADC48" w14:textId="77777777" w:rsidR="00E66E86" w:rsidRPr="00E66E86" w:rsidRDefault="00E66E86" w:rsidP="00E66E86">
      <w:pPr>
        <w:numPr>
          <w:ilvl w:val="1"/>
          <w:numId w:val="9"/>
        </w:numPr>
        <w:tabs>
          <w:tab w:val="left" w:pos="993"/>
          <w:tab w:val="left" w:pos="1134"/>
        </w:tabs>
        <w:spacing w:after="0" w:line="240" w:lineRule="auto"/>
        <w:ind w:hanging="306"/>
        <w:contextualSpacing/>
        <w:rPr>
          <w:rFonts w:eastAsiaTheme="minorEastAsia"/>
          <w:lang w:val="en-US"/>
        </w:rPr>
      </w:pPr>
      <w:r w:rsidRPr="00E66E86">
        <w:rPr>
          <w:rFonts w:eastAsiaTheme="minorEastAsia"/>
          <w:lang w:val="en-US"/>
        </w:rPr>
        <w:t>review of statutory audit Management Letter</w:t>
      </w:r>
    </w:p>
    <w:p w14:paraId="32E15A6C" w14:textId="77777777" w:rsidR="00E66E86" w:rsidRPr="00E66E86" w:rsidRDefault="00E66E86" w:rsidP="00E66E86">
      <w:pPr>
        <w:numPr>
          <w:ilvl w:val="0"/>
          <w:numId w:val="28"/>
        </w:numPr>
        <w:spacing w:after="0" w:line="240" w:lineRule="auto"/>
        <w:contextualSpacing/>
        <w:rPr>
          <w:rFonts w:eastAsiaTheme="minorEastAsia"/>
          <w:lang w:val="en-US"/>
        </w:rPr>
      </w:pPr>
      <w:r w:rsidRPr="00E66E86">
        <w:rPr>
          <w:rFonts w:eastAsiaTheme="minorEastAsia"/>
          <w:b/>
          <w:lang w:val="en-US"/>
        </w:rPr>
        <w:t>Data Protection</w:t>
      </w:r>
      <w:r w:rsidRPr="00E66E86">
        <w:rPr>
          <w:rFonts w:eastAsiaTheme="minorEastAsia"/>
          <w:lang w:val="en-US"/>
        </w:rPr>
        <w:t xml:space="preserve"> </w:t>
      </w:r>
    </w:p>
    <w:p w14:paraId="0A56B7C8"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Data protection registration (multi academy trusts only)</w:t>
      </w:r>
    </w:p>
    <w:p w14:paraId="3BD52AC4" w14:textId="77777777" w:rsidR="00E66E86" w:rsidRPr="00E66E86" w:rsidRDefault="00E66E86" w:rsidP="00E66E86">
      <w:pPr>
        <w:numPr>
          <w:ilvl w:val="0"/>
          <w:numId w:val="29"/>
        </w:numPr>
        <w:spacing w:after="0" w:line="240" w:lineRule="auto"/>
        <w:contextualSpacing/>
        <w:rPr>
          <w:rFonts w:eastAsiaTheme="minorEastAsia"/>
          <w:lang w:val="en-US"/>
        </w:rPr>
      </w:pPr>
      <w:r w:rsidRPr="00E66E86">
        <w:rPr>
          <w:rFonts w:eastAsiaTheme="minorEastAsia"/>
          <w:b/>
          <w:lang w:val="en-US"/>
        </w:rPr>
        <w:t>VAT</w:t>
      </w:r>
      <w:r w:rsidRPr="00E66E86">
        <w:rPr>
          <w:rFonts w:eastAsiaTheme="minorEastAsia"/>
          <w:lang w:val="en-US"/>
        </w:rPr>
        <w:t xml:space="preserve"> </w:t>
      </w:r>
    </w:p>
    <w:p w14:paraId="7BD67EBF" w14:textId="77777777" w:rsidR="00E66E86" w:rsidRPr="00E66E86" w:rsidRDefault="00E66E86" w:rsidP="00E66E86">
      <w:pPr>
        <w:numPr>
          <w:ilvl w:val="1"/>
          <w:numId w:val="9"/>
        </w:numPr>
        <w:spacing w:after="0" w:line="240" w:lineRule="auto"/>
        <w:contextualSpacing/>
        <w:rPr>
          <w:rFonts w:eastAsiaTheme="minorEastAsia"/>
          <w:lang w:val="en-US"/>
        </w:rPr>
      </w:pPr>
      <w:r w:rsidRPr="00E66E86">
        <w:rPr>
          <w:rFonts w:eastAsiaTheme="minorEastAsia"/>
          <w:lang w:val="en-US"/>
        </w:rPr>
        <w:t>VAT registration (multi academy trusts only)</w:t>
      </w:r>
    </w:p>
    <w:p w14:paraId="6EC9704D" w14:textId="77777777" w:rsidR="00E66E86" w:rsidRDefault="00E66E86" w:rsidP="00E66E86">
      <w:pPr>
        <w:spacing w:after="0" w:line="240" w:lineRule="auto"/>
        <w:rPr>
          <w:i/>
          <w:u w:val="single"/>
        </w:rPr>
      </w:pPr>
    </w:p>
    <w:p w14:paraId="3B1A6067" w14:textId="77777777" w:rsidR="008B3B8D" w:rsidRPr="00E66E86" w:rsidRDefault="008B3B8D" w:rsidP="00E66E86">
      <w:pPr>
        <w:spacing w:after="0" w:line="240" w:lineRule="auto"/>
        <w:rPr>
          <w:i/>
          <w:u w:val="single"/>
        </w:rPr>
      </w:pPr>
    </w:p>
    <w:p w14:paraId="40E63109" w14:textId="77777777" w:rsidR="00E66E86" w:rsidRPr="00E66E86" w:rsidRDefault="00E66E86" w:rsidP="00E66E86">
      <w:pPr>
        <w:spacing w:after="0" w:line="240" w:lineRule="auto"/>
        <w:rPr>
          <w:b/>
          <w:i/>
          <w:u w:val="single"/>
        </w:rPr>
      </w:pPr>
      <w:r w:rsidRPr="00E66E86">
        <w:rPr>
          <w:b/>
          <w:i/>
          <w:u w:val="single"/>
        </w:rPr>
        <w:t>B – Banking:</w:t>
      </w:r>
    </w:p>
    <w:p w14:paraId="59F3F1DF" w14:textId="77777777" w:rsidR="00E66E86" w:rsidRPr="00E66E86" w:rsidRDefault="00E66E86" w:rsidP="00E66E86">
      <w:pPr>
        <w:numPr>
          <w:ilvl w:val="0"/>
          <w:numId w:val="30"/>
        </w:numPr>
        <w:spacing w:after="0" w:line="240" w:lineRule="auto"/>
        <w:contextualSpacing/>
        <w:rPr>
          <w:rFonts w:eastAsia="Calibri"/>
          <w:b/>
          <w:lang w:val="en-US"/>
        </w:rPr>
      </w:pPr>
      <w:r w:rsidRPr="00E66E86">
        <w:rPr>
          <w:rFonts w:eastAsia="Calibri"/>
          <w:b/>
          <w:lang w:val="en-US"/>
        </w:rPr>
        <w:t>Internal Control</w:t>
      </w:r>
    </w:p>
    <w:p w14:paraId="7E92DC6A" w14:textId="77777777" w:rsidR="00E66E86" w:rsidRPr="00E66E86" w:rsidRDefault="00E66E86" w:rsidP="00E66E86">
      <w:pPr>
        <w:numPr>
          <w:ilvl w:val="0"/>
          <w:numId w:val="21"/>
        </w:numPr>
        <w:spacing w:after="0" w:line="240" w:lineRule="auto"/>
        <w:rPr>
          <w:rFonts w:eastAsia="Calibri"/>
          <w:lang w:val="en-US"/>
        </w:rPr>
      </w:pPr>
      <w:r w:rsidRPr="00E66E86">
        <w:rPr>
          <w:rFonts w:eastAsia="Calibri"/>
          <w:lang w:val="en-US"/>
        </w:rPr>
        <w:t>bank account structure</w:t>
      </w:r>
    </w:p>
    <w:p w14:paraId="631EB7A1" w14:textId="77777777" w:rsidR="00E66E86" w:rsidRPr="00E66E86" w:rsidRDefault="00E66E86" w:rsidP="00E66E86">
      <w:pPr>
        <w:numPr>
          <w:ilvl w:val="0"/>
          <w:numId w:val="21"/>
        </w:numPr>
        <w:spacing w:after="0" w:line="240" w:lineRule="auto"/>
        <w:rPr>
          <w:rFonts w:eastAsia="Calibri"/>
          <w:lang w:val="en-US"/>
        </w:rPr>
      </w:pPr>
      <w:r w:rsidRPr="00E66E86">
        <w:rPr>
          <w:rFonts w:eastAsia="Calibri"/>
          <w:lang w:val="en-US"/>
        </w:rPr>
        <w:t>payment authorisation procedures</w:t>
      </w:r>
    </w:p>
    <w:p w14:paraId="2C7795B3" w14:textId="77777777" w:rsidR="00E66E86" w:rsidRPr="00E66E86" w:rsidRDefault="00E66E86" w:rsidP="00E66E86">
      <w:pPr>
        <w:numPr>
          <w:ilvl w:val="0"/>
          <w:numId w:val="21"/>
        </w:numPr>
        <w:spacing w:after="0" w:line="240" w:lineRule="auto"/>
        <w:rPr>
          <w:rFonts w:eastAsia="Calibri"/>
          <w:lang w:val="en-US"/>
        </w:rPr>
      </w:pPr>
      <w:r w:rsidRPr="00E66E86">
        <w:rPr>
          <w:rFonts w:eastAsia="Calibri"/>
          <w:lang w:val="en-US"/>
        </w:rPr>
        <w:t>separation of duties (including on-line banking and BACS payments)</w:t>
      </w:r>
    </w:p>
    <w:p w14:paraId="02B6B153" w14:textId="77777777" w:rsidR="00E66E86" w:rsidRPr="00E66E86" w:rsidRDefault="00E66E86" w:rsidP="00E66E86">
      <w:pPr>
        <w:numPr>
          <w:ilvl w:val="0"/>
          <w:numId w:val="21"/>
        </w:numPr>
        <w:spacing w:after="0" w:line="240" w:lineRule="auto"/>
        <w:rPr>
          <w:rFonts w:eastAsia="Calibri"/>
          <w:lang w:val="en-US"/>
        </w:rPr>
      </w:pPr>
      <w:r w:rsidRPr="00E66E86">
        <w:rPr>
          <w:rFonts w:eastAsia="Calibri"/>
          <w:lang w:val="en-US"/>
        </w:rPr>
        <w:t xml:space="preserve">security of </w:t>
      </w:r>
      <w:proofErr w:type="spellStart"/>
      <w:r w:rsidRPr="00E66E86">
        <w:rPr>
          <w:rFonts w:eastAsia="Calibri"/>
          <w:lang w:val="en-US"/>
        </w:rPr>
        <w:t>cheque</w:t>
      </w:r>
      <w:proofErr w:type="spellEnd"/>
      <w:r w:rsidRPr="00E66E86">
        <w:rPr>
          <w:rFonts w:eastAsia="Calibri"/>
          <w:lang w:val="en-US"/>
        </w:rPr>
        <w:t xml:space="preserve"> and BACS payments</w:t>
      </w:r>
    </w:p>
    <w:p w14:paraId="35BD6098" w14:textId="77777777" w:rsidR="00E66E86" w:rsidRPr="00E66E86" w:rsidRDefault="00E66E86" w:rsidP="00E66E86">
      <w:pPr>
        <w:numPr>
          <w:ilvl w:val="0"/>
          <w:numId w:val="30"/>
        </w:numPr>
        <w:spacing w:after="0" w:line="240" w:lineRule="auto"/>
        <w:contextualSpacing/>
        <w:rPr>
          <w:rFonts w:eastAsia="Calibri"/>
          <w:b/>
          <w:lang w:val="en-US"/>
        </w:rPr>
      </w:pPr>
      <w:r w:rsidRPr="00E66E86">
        <w:rPr>
          <w:rFonts w:eastAsia="Calibri"/>
          <w:b/>
          <w:lang w:val="en-US"/>
        </w:rPr>
        <w:t xml:space="preserve">Cash Management </w:t>
      </w:r>
    </w:p>
    <w:p w14:paraId="3D2F7DD7" w14:textId="77777777" w:rsidR="00E66E86" w:rsidRPr="00E66E86" w:rsidRDefault="00E66E86" w:rsidP="00E66E86">
      <w:pPr>
        <w:numPr>
          <w:ilvl w:val="0"/>
          <w:numId w:val="22"/>
        </w:numPr>
        <w:spacing w:after="0" w:line="240" w:lineRule="auto"/>
        <w:rPr>
          <w:rFonts w:eastAsia="Calibri"/>
          <w:lang w:val="en-US"/>
        </w:rPr>
      </w:pPr>
      <w:r w:rsidRPr="00E66E86">
        <w:rPr>
          <w:rFonts w:eastAsia="Calibri"/>
          <w:lang w:val="en-US"/>
        </w:rPr>
        <w:t>bank reconciliations - frequency &amp; review process</w:t>
      </w:r>
    </w:p>
    <w:p w14:paraId="61FB6AAF" w14:textId="77777777" w:rsidR="00E66E86" w:rsidRPr="00E66E86" w:rsidRDefault="00E66E86" w:rsidP="00E66E86">
      <w:pPr>
        <w:numPr>
          <w:ilvl w:val="0"/>
          <w:numId w:val="22"/>
        </w:numPr>
        <w:spacing w:after="0" w:line="240" w:lineRule="auto"/>
        <w:rPr>
          <w:rFonts w:eastAsia="Calibri"/>
          <w:lang w:val="en-US"/>
        </w:rPr>
      </w:pPr>
      <w:r w:rsidRPr="00E66E86">
        <w:rPr>
          <w:rFonts w:eastAsia="Calibri"/>
          <w:lang w:val="en-US"/>
        </w:rPr>
        <w:t>sample testing of bank reconciliations</w:t>
      </w:r>
    </w:p>
    <w:p w14:paraId="0538A3A7" w14:textId="77777777" w:rsidR="00E66E86" w:rsidRPr="00E66E86" w:rsidRDefault="00E66E86" w:rsidP="00E66E86">
      <w:pPr>
        <w:spacing w:after="0" w:line="240" w:lineRule="auto"/>
        <w:rPr>
          <w:i/>
          <w:u w:val="single"/>
        </w:rPr>
      </w:pPr>
    </w:p>
    <w:p w14:paraId="36047D32" w14:textId="77777777" w:rsidR="00E66E86" w:rsidRPr="00E66E86" w:rsidRDefault="00E66E86" w:rsidP="00E66E86">
      <w:pPr>
        <w:spacing w:after="0" w:line="240" w:lineRule="auto"/>
        <w:rPr>
          <w:i/>
          <w:u w:val="single"/>
        </w:rPr>
      </w:pPr>
    </w:p>
    <w:p w14:paraId="6543C858" w14:textId="77777777" w:rsidR="00E66E86" w:rsidRPr="00E66E86" w:rsidRDefault="00E66E86" w:rsidP="00E66E86">
      <w:pPr>
        <w:spacing w:after="0" w:line="240" w:lineRule="auto"/>
        <w:rPr>
          <w:b/>
          <w:i/>
          <w:u w:val="single"/>
        </w:rPr>
      </w:pPr>
      <w:r w:rsidRPr="00E66E86">
        <w:rPr>
          <w:b/>
          <w:i/>
          <w:u w:val="single"/>
        </w:rPr>
        <w:lastRenderedPageBreak/>
        <w:t>C – Payroll and Expenses:</w:t>
      </w:r>
    </w:p>
    <w:p w14:paraId="7469C85C" w14:textId="77777777" w:rsidR="00E66E86" w:rsidRPr="00E66E86" w:rsidRDefault="00E66E86" w:rsidP="00E66E86">
      <w:pPr>
        <w:numPr>
          <w:ilvl w:val="0"/>
          <w:numId w:val="10"/>
        </w:numPr>
        <w:spacing w:after="0" w:line="240" w:lineRule="auto"/>
        <w:contextualSpacing/>
        <w:rPr>
          <w:rFonts w:eastAsiaTheme="minorEastAsia"/>
          <w:b/>
          <w:lang w:val="en-US"/>
        </w:rPr>
      </w:pPr>
      <w:r w:rsidRPr="00E66E86">
        <w:rPr>
          <w:rFonts w:eastAsiaTheme="minorEastAsia"/>
          <w:b/>
          <w:lang w:val="en-US"/>
        </w:rPr>
        <w:t xml:space="preserve">Payroll Processing </w:t>
      </w:r>
    </w:p>
    <w:p w14:paraId="19385CF2" w14:textId="77777777" w:rsidR="00E66E86" w:rsidRPr="00E66E86" w:rsidRDefault="00E66E86" w:rsidP="00E66E86">
      <w:pPr>
        <w:numPr>
          <w:ilvl w:val="1"/>
          <w:numId w:val="10"/>
        </w:numPr>
        <w:spacing w:after="0" w:line="240" w:lineRule="auto"/>
        <w:contextualSpacing/>
        <w:rPr>
          <w:rFonts w:eastAsiaTheme="minorEastAsia"/>
          <w:lang w:val="en-US"/>
        </w:rPr>
      </w:pPr>
      <w:r w:rsidRPr="00E66E86">
        <w:rPr>
          <w:rFonts w:eastAsiaTheme="minorEastAsia"/>
          <w:lang w:val="en-US"/>
        </w:rPr>
        <w:t xml:space="preserve">payroll provider contract/SLA </w:t>
      </w:r>
    </w:p>
    <w:p w14:paraId="22527C91" w14:textId="77777777" w:rsidR="00E66E86" w:rsidRPr="00E66E86" w:rsidRDefault="00E66E86" w:rsidP="00E66E86">
      <w:pPr>
        <w:numPr>
          <w:ilvl w:val="1"/>
          <w:numId w:val="10"/>
        </w:numPr>
        <w:spacing w:after="0" w:line="240" w:lineRule="auto"/>
        <w:contextualSpacing/>
        <w:rPr>
          <w:rFonts w:eastAsiaTheme="minorEastAsia"/>
          <w:lang w:val="en-US"/>
        </w:rPr>
      </w:pPr>
      <w:r w:rsidRPr="00E66E86">
        <w:rPr>
          <w:rFonts w:eastAsiaTheme="minorEastAsia"/>
          <w:lang w:val="en-US"/>
        </w:rPr>
        <w:t xml:space="preserve">process of independent review </w:t>
      </w:r>
    </w:p>
    <w:p w14:paraId="5181998C" w14:textId="77777777" w:rsidR="00E66E86" w:rsidRPr="00E66E86" w:rsidRDefault="00E66E86" w:rsidP="00E66E86">
      <w:pPr>
        <w:numPr>
          <w:ilvl w:val="1"/>
          <w:numId w:val="10"/>
        </w:numPr>
        <w:spacing w:after="0" w:line="240" w:lineRule="auto"/>
        <w:contextualSpacing/>
        <w:rPr>
          <w:rFonts w:eastAsiaTheme="minorEastAsia"/>
          <w:lang w:val="en-US"/>
        </w:rPr>
      </w:pPr>
      <w:r w:rsidRPr="00E66E86">
        <w:rPr>
          <w:rFonts w:eastAsiaTheme="minorEastAsia"/>
          <w:lang w:val="en-US"/>
        </w:rPr>
        <w:t>sample testing of staff contracts and payments</w:t>
      </w:r>
    </w:p>
    <w:p w14:paraId="73EC65A6" w14:textId="77777777" w:rsidR="00E66E86" w:rsidRPr="00E66E86" w:rsidRDefault="00E66E86" w:rsidP="00E66E86">
      <w:pPr>
        <w:numPr>
          <w:ilvl w:val="0"/>
          <w:numId w:val="10"/>
        </w:numPr>
        <w:spacing w:after="0" w:line="240" w:lineRule="auto"/>
        <w:contextualSpacing/>
        <w:rPr>
          <w:rFonts w:eastAsiaTheme="minorEastAsia"/>
          <w:b/>
          <w:lang w:val="en-US"/>
        </w:rPr>
      </w:pPr>
      <w:r w:rsidRPr="00E66E86">
        <w:rPr>
          <w:rFonts w:eastAsiaTheme="minorEastAsia"/>
          <w:b/>
          <w:lang w:val="en-US"/>
        </w:rPr>
        <w:t>Mileage and Subsistence Payments</w:t>
      </w:r>
    </w:p>
    <w:p w14:paraId="4F0490AF" w14:textId="77777777" w:rsidR="00E66E86" w:rsidRPr="00E66E86" w:rsidRDefault="00E66E86" w:rsidP="00E66E86">
      <w:pPr>
        <w:numPr>
          <w:ilvl w:val="1"/>
          <w:numId w:val="10"/>
        </w:numPr>
        <w:spacing w:after="0" w:line="240" w:lineRule="auto"/>
        <w:contextualSpacing/>
        <w:rPr>
          <w:rFonts w:eastAsiaTheme="minorEastAsia"/>
          <w:lang w:val="en-US"/>
        </w:rPr>
      </w:pPr>
      <w:r w:rsidRPr="00E66E86">
        <w:rPr>
          <w:rFonts w:eastAsiaTheme="minorEastAsia"/>
          <w:lang w:val="en-US"/>
        </w:rPr>
        <w:t>authorisation</w:t>
      </w:r>
    </w:p>
    <w:p w14:paraId="26476BFB" w14:textId="6F57B9A8" w:rsidR="008B3B8D" w:rsidRDefault="00E66E86" w:rsidP="00E66E86">
      <w:pPr>
        <w:numPr>
          <w:ilvl w:val="1"/>
          <w:numId w:val="10"/>
        </w:numPr>
        <w:spacing w:after="0" w:line="240" w:lineRule="auto"/>
        <w:contextualSpacing/>
        <w:rPr>
          <w:rFonts w:eastAsiaTheme="minorEastAsia"/>
          <w:lang w:val="en-US"/>
        </w:rPr>
      </w:pPr>
      <w:r w:rsidRPr="00E66E86">
        <w:rPr>
          <w:rFonts w:eastAsiaTheme="minorEastAsia"/>
          <w:lang w:val="en-US"/>
        </w:rPr>
        <w:t>payment</w:t>
      </w:r>
    </w:p>
    <w:p w14:paraId="137A5E0A" w14:textId="77777777" w:rsidR="008B3B8D" w:rsidRPr="008B3B8D" w:rsidRDefault="008B3B8D" w:rsidP="008B3B8D">
      <w:pPr>
        <w:spacing w:after="0" w:line="240" w:lineRule="auto"/>
        <w:ind w:left="1440"/>
        <w:contextualSpacing/>
        <w:rPr>
          <w:rFonts w:eastAsiaTheme="minorEastAsia"/>
          <w:lang w:val="en-US"/>
        </w:rPr>
      </w:pPr>
    </w:p>
    <w:p w14:paraId="54D030E8" w14:textId="77777777" w:rsidR="00E66E86" w:rsidRPr="00E66E86" w:rsidRDefault="00E66E86" w:rsidP="00E66E86">
      <w:pPr>
        <w:rPr>
          <w:b/>
          <w:u w:val="single"/>
        </w:rPr>
      </w:pPr>
      <w:r w:rsidRPr="00E66E86">
        <w:rPr>
          <w:b/>
          <w:u w:val="single"/>
        </w:rPr>
        <w:t>Visit 2</w:t>
      </w:r>
    </w:p>
    <w:p w14:paraId="51F126C5" w14:textId="77777777" w:rsidR="00E66E86" w:rsidRPr="00E66E86" w:rsidRDefault="00E66E86" w:rsidP="00E66E86">
      <w:pPr>
        <w:spacing w:after="0" w:line="240" w:lineRule="auto"/>
        <w:rPr>
          <w:b/>
          <w:i/>
          <w:u w:val="single"/>
        </w:rPr>
      </w:pPr>
      <w:r w:rsidRPr="00E66E86">
        <w:rPr>
          <w:b/>
          <w:i/>
          <w:u w:val="single"/>
        </w:rPr>
        <w:t>D – Governance and Financial Reporting:</w:t>
      </w:r>
    </w:p>
    <w:p w14:paraId="2B694263" w14:textId="77777777" w:rsidR="00E66E86" w:rsidRPr="00E66E86" w:rsidRDefault="00E66E86" w:rsidP="00E66E86">
      <w:pPr>
        <w:numPr>
          <w:ilvl w:val="0"/>
          <w:numId w:val="11"/>
        </w:numPr>
        <w:spacing w:after="0" w:line="240" w:lineRule="auto"/>
        <w:contextualSpacing/>
        <w:rPr>
          <w:rFonts w:eastAsiaTheme="minorEastAsia"/>
          <w:b/>
          <w:lang w:val="en-US"/>
        </w:rPr>
      </w:pPr>
      <w:r w:rsidRPr="00E66E86">
        <w:rPr>
          <w:rFonts w:eastAsiaTheme="minorEastAsia"/>
          <w:b/>
          <w:lang w:val="en-US"/>
        </w:rPr>
        <w:t>Budget Monitoring</w:t>
      </w:r>
    </w:p>
    <w:p w14:paraId="00249C3F" w14:textId="77777777" w:rsidR="00E66E86" w:rsidRPr="00E66E86" w:rsidRDefault="00E66E86" w:rsidP="00E66E86">
      <w:pPr>
        <w:numPr>
          <w:ilvl w:val="1"/>
          <w:numId w:val="11"/>
        </w:numPr>
        <w:spacing w:after="0" w:line="240" w:lineRule="auto"/>
        <w:contextualSpacing/>
        <w:rPr>
          <w:rFonts w:eastAsiaTheme="minorEastAsia"/>
          <w:lang w:val="en-US"/>
        </w:rPr>
      </w:pPr>
      <w:r w:rsidRPr="00E66E86">
        <w:rPr>
          <w:rFonts w:eastAsiaTheme="minorEastAsia"/>
          <w:lang w:val="en-US"/>
        </w:rPr>
        <w:t>academy / multi academy trust budget</w:t>
      </w:r>
    </w:p>
    <w:p w14:paraId="178ACCEB" w14:textId="77777777" w:rsidR="00E66E86" w:rsidRPr="00E66E86" w:rsidRDefault="00E66E86" w:rsidP="00E66E86">
      <w:pPr>
        <w:numPr>
          <w:ilvl w:val="1"/>
          <w:numId w:val="11"/>
        </w:numPr>
        <w:spacing w:after="0" w:line="240" w:lineRule="auto"/>
        <w:contextualSpacing/>
        <w:rPr>
          <w:rFonts w:eastAsiaTheme="minorEastAsia"/>
          <w:lang w:val="en-US"/>
        </w:rPr>
      </w:pPr>
      <w:r w:rsidRPr="00E66E86">
        <w:rPr>
          <w:rFonts w:eastAsiaTheme="minorEastAsia"/>
          <w:lang w:val="en-US"/>
        </w:rPr>
        <w:t>‘approved budget’ changes</w:t>
      </w:r>
    </w:p>
    <w:p w14:paraId="42E41768" w14:textId="77777777" w:rsidR="00E66E86" w:rsidRPr="00E66E86" w:rsidRDefault="00E66E86" w:rsidP="00E66E86">
      <w:pPr>
        <w:numPr>
          <w:ilvl w:val="0"/>
          <w:numId w:val="11"/>
        </w:numPr>
        <w:spacing w:after="0" w:line="240" w:lineRule="auto"/>
        <w:contextualSpacing/>
        <w:rPr>
          <w:rFonts w:eastAsiaTheme="minorEastAsia"/>
          <w:b/>
          <w:lang w:val="en-US"/>
        </w:rPr>
      </w:pPr>
      <w:r w:rsidRPr="00E66E86">
        <w:rPr>
          <w:rFonts w:eastAsiaTheme="minorEastAsia"/>
          <w:b/>
          <w:lang w:val="en-US"/>
        </w:rPr>
        <w:t>Reporting to Trustees</w:t>
      </w:r>
    </w:p>
    <w:p w14:paraId="4362D64A" w14:textId="77777777" w:rsidR="00E66E86" w:rsidRPr="00E66E86" w:rsidRDefault="00E66E86" w:rsidP="00E66E86">
      <w:pPr>
        <w:numPr>
          <w:ilvl w:val="1"/>
          <w:numId w:val="11"/>
        </w:numPr>
        <w:spacing w:after="0" w:line="240" w:lineRule="auto"/>
        <w:contextualSpacing/>
        <w:rPr>
          <w:rFonts w:eastAsiaTheme="minorEastAsia"/>
          <w:lang w:val="en-US"/>
        </w:rPr>
      </w:pPr>
      <w:r w:rsidRPr="00E66E86">
        <w:rPr>
          <w:rFonts w:eastAsiaTheme="minorEastAsia"/>
          <w:lang w:val="en-US"/>
        </w:rPr>
        <w:t>financial reporting</w:t>
      </w:r>
    </w:p>
    <w:p w14:paraId="41C3BB4F" w14:textId="77777777" w:rsidR="00E66E86" w:rsidRPr="00E66E86" w:rsidRDefault="00E66E86" w:rsidP="00E66E86">
      <w:pPr>
        <w:numPr>
          <w:ilvl w:val="0"/>
          <w:numId w:val="11"/>
        </w:numPr>
        <w:spacing w:after="0" w:line="240" w:lineRule="auto"/>
        <w:contextualSpacing/>
        <w:rPr>
          <w:rFonts w:eastAsiaTheme="minorEastAsia"/>
          <w:b/>
          <w:lang w:val="en-US"/>
        </w:rPr>
      </w:pPr>
      <w:r w:rsidRPr="00E66E86">
        <w:rPr>
          <w:rFonts w:eastAsiaTheme="minorEastAsia"/>
          <w:b/>
          <w:lang w:val="en-US"/>
        </w:rPr>
        <w:t>Internal Control</w:t>
      </w:r>
    </w:p>
    <w:p w14:paraId="0CF5AB28" w14:textId="77777777" w:rsidR="00E66E86" w:rsidRPr="00E66E86" w:rsidRDefault="00E66E86" w:rsidP="00E66E86">
      <w:pPr>
        <w:numPr>
          <w:ilvl w:val="1"/>
          <w:numId w:val="11"/>
        </w:numPr>
        <w:spacing w:after="0" w:line="240" w:lineRule="auto"/>
        <w:contextualSpacing/>
        <w:rPr>
          <w:rFonts w:eastAsiaTheme="minorEastAsia"/>
          <w:lang w:val="en-US"/>
        </w:rPr>
      </w:pPr>
      <w:r w:rsidRPr="00E66E86">
        <w:rPr>
          <w:rFonts w:eastAsiaTheme="minorEastAsia"/>
          <w:lang w:val="en-US"/>
        </w:rPr>
        <w:t>financial control account reconciliations</w:t>
      </w:r>
    </w:p>
    <w:p w14:paraId="47B3CEC2" w14:textId="77777777" w:rsidR="00E66E86" w:rsidRPr="00E66E86" w:rsidRDefault="00E66E86" w:rsidP="00E66E86">
      <w:pPr>
        <w:numPr>
          <w:ilvl w:val="0"/>
          <w:numId w:val="11"/>
        </w:numPr>
        <w:spacing w:after="0" w:line="240" w:lineRule="auto"/>
        <w:jc w:val="both"/>
        <w:rPr>
          <w:rFonts w:eastAsia="Arial Unicode MS"/>
          <w:b/>
        </w:rPr>
      </w:pPr>
      <w:r w:rsidRPr="00E66E86">
        <w:rPr>
          <w:rFonts w:eastAsia="Arial Unicode MS"/>
          <w:b/>
        </w:rPr>
        <w:t>Internal Scrutiny</w:t>
      </w:r>
    </w:p>
    <w:p w14:paraId="580FCF47" w14:textId="77777777" w:rsidR="00E66E86" w:rsidRPr="00E66E86" w:rsidRDefault="00E66E86" w:rsidP="00E66E86">
      <w:pPr>
        <w:numPr>
          <w:ilvl w:val="1"/>
          <w:numId w:val="11"/>
        </w:numPr>
        <w:spacing w:after="0" w:line="240" w:lineRule="auto"/>
        <w:contextualSpacing/>
        <w:rPr>
          <w:rFonts w:eastAsia="Arial Unicode MS"/>
        </w:rPr>
      </w:pPr>
      <w:r w:rsidRPr="00E66E86">
        <w:rPr>
          <w:rFonts w:eastAsia="Arial Unicode MS"/>
        </w:rPr>
        <w:t xml:space="preserve">follow up of previous ‘high priority’ ICE recommendations </w:t>
      </w:r>
    </w:p>
    <w:p w14:paraId="718FB8B9" w14:textId="77777777" w:rsidR="00E66E86" w:rsidRPr="00E66E86" w:rsidRDefault="00E66E86" w:rsidP="00E66E86">
      <w:pPr>
        <w:numPr>
          <w:ilvl w:val="1"/>
          <w:numId w:val="11"/>
        </w:numPr>
        <w:spacing w:after="0" w:line="240" w:lineRule="auto"/>
        <w:contextualSpacing/>
        <w:rPr>
          <w:rFonts w:eastAsia="Arial Unicode MS"/>
        </w:rPr>
      </w:pPr>
      <w:r w:rsidRPr="00E66E86">
        <w:rPr>
          <w:rFonts w:eastAsia="Arial Unicode MS"/>
        </w:rPr>
        <w:t>review of statutory audit Management Letter</w:t>
      </w:r>
    </w:p>
    <w:p w14:paraId="31AE7A8F" w14:textId="77777777" w:rsidR="00E66E86" w:rsidRPr="00E66E86" w:rsidRDefault="00E66E86" w:rsidP="00E66E86">
      <w:pPr>
        <w:numPr>
          <w:ilvl w:val="0"/>
          <w:numId w:val="11"/>
        </w:numPr>
        <w:spacing w:after="0" w:line="240" w:lineRule="auto"/>
        <w:contextualSpacing/>
        <w:rPr>
          <w:rFonts w:eastAsiaTheme="minorEastAsia"/>
          <w:lang w:val="en-US"/>
        </w:rPr>
      </w:pPr>
      <w:r w:rsidRPr="00E66E86">
        <w:rPr>
          <w:rFonts w:eastAsiaTheme="minorEastAsia"/>
          <w:b/>
          <w:lang w:val="en-US"/>
        </w:rPr>
        <w:t>Financial Management &amp; Governance Self-Assessment</w:t>
      </w:r>
      <w:r w:rsidRPr="00E66E86">
        <w:rPr>
          <w:rFonts w:eastAsiaTheme="minorEastAsia"/>
          <w:lang w:val="en-US"/>
        </w:rPr>
        <w:t xml:space="preserve"> (newly formed multi academy trusts only)</w:t>
      </w:r>
    </w:p>
    <w:p w14:paraId="0DA08244" w14:textId="77777777" w:rsidR="00E66E86" w:rsidRPr="00E66E86" w:rsidRDefault="00E66E86" w:rsidP="00E66E86">
      <w:pPr>
        <w:numPr>
          <w:ilvl w:val="1"/>
          <w:numId w:val="11"/>
        </w:numPr>
        <w:spacing w:after="0" w:line="240" w:lineRule="auto"/>
        <w:contextualSpacing/>
        <w:rPr>
          <w:rFonts w:eastAsia="Arial Unicode MS"/>
        </w:rPr>
      </w:pPr>
      <w:r w:rsidRPr="00E66E86">
        <w:rPr>
          <w:rFonts w:eastAsia="Arial Unicode MS"/>
        </w:rPr>
        <w:t xml:space="preserve">ESFA reporting compliance </w:t>
      </w:r>
    </w:p>
    <w:p w14:paraId="61B214A9" w14:textId="77777777" w:rsidR="00E66E86" w:rsidRDefault="00E66E86" w:rsidP="00E66E86">
      <w:pPr>
        <w:spacing w:after="0" w:line="240" w:lineRule="auto"/>
        <w:ind w:left="1440"/>
        <w:contextualSpacing/>
        <w:rPr>
          <w:rFonts w:eastAsia="Arial Unicode MS"/>
        </w:rPr>
      </w:pPr>
    </w:p>
    <w:p w14:paraId="07CF8CD0" w14:textId="77777777" w:rsidR="00E66E86" w:rsidRPr="00E66E86" w:rsidRDefault="00E66E86" w:rsidP="00E66E86">
      <w:pPr>
        <w:spacing w:after="0" w:line="240" w:lineRule="auto"/>
        <w:rPr>
          <w:b/>
          <w:i/>
          <w:u w:val="single"/>
        </w:rPr>
      </w:pPr>
      <w:r w:rsidRPr="00E66E86">
        <w:rPr>
          <w:b/>
          <w:i/>
          <w:u w:val="single"/>
        </w:rPr>
        <w:t>E – Income:</w:t>
      </w:r>
    </w:p>
    <w:p w14:paraId="4059ACE1" w14:textId="77777777" w:rsidR="00E66E86" w:rsidRPr="00E66E86" w:rsidRDefault="00E66E86" w:rsidP="00E66E86">
      <w:pPr>
        <w:numPr>
          <w:ilvl w:val="0"/>
          <w:numId w:val="12"/>
        </w:numPr>
        <w:spacing w:after="0" w:line="240" w:lineRule="auto"/>
        <w:contextualSpacing/>
        <w:rPr>
          <w:rFonts w:eastAsiaTheme="minorEastAsia"/>
          <w:b/>
          <w:lang w:val="en-US"/>
        </w:rPr>
      </w:pPr>
      <w:r w:rsidRPr="00E66E86">
        <w:rPr>
          <w:rFonts w:eastAsiaTheme="minorEastAsia"/>
          <w:b/>
          <w:lang w:val="en-US"/>
        </w:rPr>
        <w:t>Receipt of Payments from Students and Parents</w:t>
      </w:r>
    </w:p>
    <w:p w14:paraId="4B49F8BF" w14:textId="77777777" w:rsidR="00E66E86" w:rsidRPr="00E66E86" w:rsidRDefault="00E66E86" w:rsidP="00E66E86">
      <w:pPr>
        <w:numPr>
          <w:ilvl w:val="1"/>
          <w:numId w:val="12"/>
        </w:numPr>
        <w:spacing w:after="0" w:line="240" w:lineRule="auto"/>
        <w:contextualSpacing/>
        <w:rPr>
          <w:rFonts w:eastAsiaTheme="minorEastAsia"/>
          <w:lang w:val="en-US"/>
        </w:rPr>
      </w:pPr>
      <w:r w:rsidRPr="00E66E86">
        <w:rPr>
          <w:rFonts w:eastAsiaTheme="minorEastAsia"/>
          <w:lang w:val="en-US"/>
        </w:rPr>
        <w:t>income processing policy &amp; procedures</w:t>
      </w:r>
    </w:p>
    <w:p w14:paraId="6FD89C63" w14:textId="77777777" w:rsidR="00E66E86" w:rsidRPr="00E66E86" w:rsidRDefault="00E66E86" w:rsidP="00E66E86">
      <w:pPr>
        <w:numPr>
          <w:ilvl w:val="0"/>
          <w:numId w:val="12"/>
        </w:numPr>
        <w:spacing w:after="0" w:line="240" w:lineRule="auto"/>
        <w:contextualSpacing/>
        <w:rPr>
          <w:rFonts w:eastAsiaTheme="minorEastAsia"/>
          <w:b/>
          <w:lang w:val="en-US"/>
        </w:rPr>
      </w:pPr>
      <w:r w:rsidRPr="00E66E86">
        <w:rPr>
          <w:rFonts w:eastAsiaTheme="minorEastAsia"/>
          <w:b/>
          <w:lang w:val="en-US"/>
        </w:rPr>
        <w:t>Generated Income</w:t>
      </w:r>
    </w:p>
    <w:p w14:paraId="63F47C79" w14:textId="77777777" w:rsidR="00E66E86" w:rsidRPr="00E66E86" w:rsidRDefault="00E66E86" w:rsidP="00E66E86">
      <w:pPr>
        <w:numPr>
          <w:ilvl w:val="1"/>
          <w:numId w:val="12"/>
        </w:numPr>
        <w:spacing w:after="0" w:line="240" w:lineRule="auto"/>
        <w:contextualSpacing/>
        <w:rPr>
          <w:rFonts w:eastAsiaTheme="minorEastAsia"/>
          <w:lang w:val="en-US"/>
        </w:rPr>
      </w:pPr>
      <w:r w:rsidRPr="00E66E86">
        <w:rPr>
          <w:rFonts w:eastAsiaTheme="minorEastAsia"/>
          <w:lang w:val="en-US"/>
        </w:rPr>
        <w:t>Income policy &amp; procedures for generated income</w:t>
      </w:r>
    </w:p>
    <w:p w14:paraId="35580733" w14:textId="77777777" w:rsidR="00E66E86" w:rsidRPr="00E66E86" w:rsidRDefault="00E66E86" w:rsidP="00E66E86">
      <w:pPr>
        <w:numPr>
          <w:ilvl w:val="0"/>
          <w:numId w:val="12"/>
        </w:numPr>
        <w:spacing w:after="0" w:line="240" w:lineRule="auto"/>
        <w:contextualSpacing/>
        <w:rPr>
          <w:rFonts w:eastAsiaTheme="minorEastAsia"/>
          <w:b/>
          <w:lang w:val="en-US"/>
        </w:rPr>
      </w:pPr>
      <w:r w:rsidRPr="00E66E86">
        <w:rPr>
          <w:rFonts w:eastAsiaTheme="minorEastAsia"/>
          <w:b/>
          <w:lang w:val="en-US"/>
        </w:rPr>
        <w:t>Internal Control – (Income Sample)</w:t>
      </w:r>
    </w:p>
    <w:p w14:paraId="0D18EFD2" w14:textId="77777777" w:rsidR="00E66E86" w:rsidRPr="00E66E86" w:rsidRDefault="00E66E86" w:rsidP="00E66E86">
      <w:pPr>
        <w:numPr>
          <w:ilvl w:val="1"/>
          <w:numId w:val="12"/>
        </w:numPr>
        <w:spacing w:after="0" w:line="240" w:lineRule="auto"/>
        <w:contextualSpacing/>
        <w:rPr>
          <w:rFonts w:eastAsiaTheme="minorEastAsia"/>
          <w:lang w:val="en-US"/>
        </w:rPr>
      </w:pPr>
      <w:r w:rsidRPr="00E66E86">
        <w:rPr>
          <w:rFonts w:eastAsiaTheme="minorEastAsia"/>
          <w:lang w:val="en-US"/>
        </w:rPr>
        <w:t>financial discipline</w:t>
      </w:r>
    </w:p>
    <w:p w14:paraId="10B4F8EC" w14:textId="77777777" w:rsidR="00E66E86" w:rsidRPr="00E66E86" w:rsidRDefault="00E66E86" w:rsidP="00E66E86">
      <w:pPr>
        <w:numPr>
          <w:ilvl w:val="1"/>
          <w:numId w:val="12"/>
        </w:numPr>
        <w:spacing w:after="0" w:line="240" w:lineRule="auto"/>
        <w:contextualSpacing/>
        <w:rPr>
          <w:rFonts w:eastAsiaTheme="minorEastAsia"/>
          <w:lang w:val="en-US"/>
        </w:rPr>
      </w:pPr>
      <w:r w:rsidRPr="00E66E86">
        <w:rPr>
          <w:rFonts w:eastAsiaTheme="minorEastAsia"/>
          <w:lang w:val="en-US"/>
        </w:rPr>
        <w:t>audit trail</w:t>
      </w:r>
    </w:p>
    <w:p w14:paraId="09BE40F7" w14:textId="77777777" w:rsidR="00E66E86" w:rsidRPr="00E66E86" w:rsidRDefault="00E66E86" w:rsidP="00E66E86">
      <w:pPr>
        <w:numPr>
          <w:ilvl w:val="1"/>
          <w:numId w:val="12"/>
        </w:numPr>
        <w:spacing w:after="0" w:line="240" w:lineRule="auto"/>
        <w:contextualSpacing/>
        <w:rPr>
          <w:rFonts w:eastAsiaTheme="minorEastAsia"/>
          <w:lang w:val="en-US"/>
        </w:rPr>
      </w:pPr>
      <w:r w:rsidRPr="00E66E86">
        <w:rPr>
          <w:rFonts w:eastAsiaTheme="minorEastAsia"/>
          <w:lang w:val="en-US"/>
        </w:rPr>
        <w:t>completeness of income</w:t>
      </w:r>
    </w:p>
    <w:p w14:paraId="62CF054A" w14:textId="77777777" w:rsidR="00E66E86" w:rsidRPr="00E66E86" w:rsidRDefault="00E66E86" w:rsidP="00E66E86">
      <w:pPr>
        <w:numPr>
          <w:ilvl w:val="1"/>
          <w:numId w:val="12"/>
        </w:numPr>
        <w:spacing w:after="0" w:line="240" w:lineRule="auto"/>
        <w:contextualSpacing/>
        <w:rPr>
          <w:rFonts w:eastAsiaTheme="minorEastAsia"/>
          <w:lang w:val="en-US"/>
        </w:rPr>
      </w:pPr>
      <w:r w:rsidRPr="00E66E86">
        <w:rPr>
          <w:rFonts w:eastAsiaTheme="minorEastAsia"/>
          <w:lang w:val="en-US"/>
        </w:rPr>
        <w:t>financial monitoring of activities</w:t>
      </w:r>
    </w:p>
    <w:p w14:paraId="3B0AE59D" w14:textId="77777777" w:rsidR="00E66E86" w:rsidRDefault="00E66E86" w:rsidP="00E66E86">
      <w:pPr>
        <w:numPr>
          <w:ilvl w:val="1"/>
          <w:numId w:val="12"/>
        </w:numPr>
        <w:spacing w:after="0" w:line="240" w:lineRule="auto"/>
        <w:contextualSpacing/>
        <w:rPr>
          <w:rFonts w:eastAsiaTheme="minorEastAsia"/>
          <w:lang w:val="en-US"/>
        </w:rPr>
      </w:pPr>
      <w:r w:rsidRPr="00E66E86">
        <w:rPr>
          <w:rFonts w:eastAsiaTheme="minorEastAsia"/>
          <w:lang w:val="en-US"/>
        </w:rPr>
        <w:t>segregation of duties</w:t>
      </w:r>
    </w:p>
    <w:p w14:paraId="7ADFD022" w14:textId="77777777" w:rsidR="008B3B8D" w:rsidRPr="00E66E86" w:rsidRDefault="008B3B8D" w:rsidP="008B3B8D">
      <w:pPr>
        <w:spacing w:after="0" w:line="240" w:lineRule="auto"/>
        <w:contextualSpacing/>
        <w:rPr>
          <w:rFonts w:eastAsiaTheme="minorEastAsia"/>
          <w:lang w:val="en-US"/>
        </w:rPr>
      </w:pPr>
    </w:p>
    <w:p w14:paraId="1E135DC2" w14:textId="77777777" w:rsidR="00E66E86" w:rsidRPr="00E66E86" w:rsidRDefault="00E66E86" w:rsidP="00E66E86">
      <w:pPr>
        <w:spacing w:after="0" w:line="240" w:lineRule="auto"/>
        <w:rPr>
          <w:b/>
          <w:i/>
          <w:u w:val="single"/>
        </w:rPr>
      </w:pPr>
      <w:r w:rsidRPr="00E66E86">
        <w:rPr>
          <w:b/>
          <w:i/>
          <w:u w:val="single"/>
        </w:rPr>
        <w:t>F – Assets:</w:t>
      </w:r>
    </w:p>
    <w:p w14:paraId="68009D56" w14:textId="77777777" w:rsidR="00E66E86" w:rsidRPr="00E66E86" w:rsidRDefault="00E66E86" w:rsidP="00E66E86">
      <w:pPr>
        <w:numPr>
          <w:ilvl w:val="0"/>
          <w:numId w:val="13"/>
        </w:numPr>
        <w:spacing w:after="0" w:line="240" w:lineRule="auto"/>
        <w:contextualSpacing/>
        <w:rPr>
          <w:rFonts w:eastAsiaTheme="minorEastAsia"/>
          <w:b/>
          <w:lang w:val="en-US"/>
        </w:rPr>
      </w:pPr>
      <w:r w:rsidRPr="00E66E86">
        <w:rPr>
          <w:rFonts w:eastAsiaTheme="minorEastAsia"/>
          <w:b/>
          <w:lang w:val="en-US"/>
        </w:rPr>
        <w:t>Fixed Assets</w:t>
      </w:r>
    </w:p>
    <w:p w14:paraId="7AA0DF7B" w14:textId="77777777" w:rsidR="00E66E86" w:rsidRPr="00E66E86" w:rsidRDefault="00E66E86" w:rsidP="00E66E86">
      <w:pPr>
        <w:numPr>
          <w:ilvl w:val="1"/>
          <w:numId w:val="13"/>
        </w:numPr>
        <w:spacing w:after="0" w:line="240" w:lineRule="auto"/>
        <w:contextualSpacing/>
        <w:rPr>
          <w:rFonts w:eastAsiaTheme="minorEastAsia"/>
          <w:lang w:val="en-US"/>
        </w:rPr>
      </w:pPr>
      <w:r w:rsidRPr="00E66E86">
        <w:rPr>
          <w:rFonts w:eastAsiaTheme="minorEastAsia"/>
          <w:lang w:val="en-US"/>
        </w:rPr>
        <w:t>policy (newly formed multi academy trusts only)</w:t>
      </w:r>
    </w:p>
    <w:p w14:paraId="08AA5977" w14:textId="77777777" w:rsidR="00E66E86" w:rsidRPr="00E66E86" w:rsidRDefault="00E66E86" w:rsidP="00E66E86">
      <w:pPr>
        <w:numPr>
          <w:ilvl w:val="1"/>
          <w:numId w:val="13"/>
        </w:numPr>
        <w:spacing w:after="0" w:line="240" w:lineRule="auto"/>
        <w:contextualSpacing/>
        <w:rPr>
          <w:rFonts w:eastAsiaTheme="minorEastAsia"/>
          <w:lang w:val="en-US"/>
        </w:rPr>
      </w:pPr>
      <w:r w:rsidRPr="00E66E86">
        <w:rPr>
          <w:rFonts w:eastAsiaTheme="minorEastAsia"/>
          <w:lang w:val="en-US"/>
        </w:rPr>
        <w:t>register</w:t>
      </w:r>
    </w:p>
    <w:p w14:paraId="0A36CD60" w14:textId="77777777" w:rsidR="00E66E86" w:rsidRPr="00E66E86" w:rsidRDefault="00E66E86" w:rsidP="00E66E86">
      <w:pPr>
        <w:numPr>
          <w:ilvl w:val="1"/>
          <w:numId w:val="13"/>
        </w:numPr>
        <w:spacing w:after="0" w:line="240" w:lineRule="auto"/>
        <w:contextualSpacing/>
        <w:rPr>
          <w:rFonts w:eastAsiaTheme="minorEastAsia"/>
          <w:lang w:val="en-US"/>
        </w:rPr>
      </w:pPr>
      <w:r w:rsidRPr="00E66E86">
        <w:rPr>
          <w:rFonts w:eastAsiaTheme="minorEastAsia"/>
          <w:lang w:val="en-US"/>
        </w:rPr>
        <w:t>disposals</w:t>
      </w:r>
    </w:p>
    <w:p w14:paraId="7371969E" w14:textId="77777777" w:rsidR="00E66E86" w:rsidRPr="00E66E86" w:rsidRDefault="00E66E86" w:rsidP="00E66E86">
      <w:pPr>
        <w:numPr>
          <w:ilvl w:val="1"/>
          <w:numId w:val="13"/>
        </w:numPr>
        <w:spacing w:after="0" w:line="240" w:lineRule="auto"/>
        <w:contextualSpacing/>
        <w:rPr>
          <w:rFonts w:eastAsiaTheme="minorEastAsia"/>
          <w:lang w:val="en-US"/>
        </w:rPr>
      </w:pPr>
      <w:r w:rsidRPr="00E66E86">
        <w:rPr>
          <w:rFonts w:eastAsiaTheme="minorEastAsia"/>
          <w:lang w:val="en-US"/>
        </w:rPr>
        <w:t>physical check</w:t>
      </w:r>
    </w:p>
    <w:p w14:paraId="67AC14D2" w14:textId="77777777" w:rsidR="00E66E86" w:rsidRPr="00E66E86" w:rsidRDefault="00E66E86" w:rsidP="00E66E86">
      <w:pPr>
        <w:numPr>
          <w:ilvl w:val="0"/>
          <w:numId w:val="13"/>
        </w:numPr>
        <w:spacing w:after="0" w:line="240" w:lineRule="auto"/>
        <w:contextualSpacing/>
        <w:rPr>
          <w:rFonts w:eastAsiaTheme="minorEastAsia"/>
          <w:b/>
          <w:lang w:val="en-US"/>
        </w:rPr>
      </w:pPr>
      <w:r w:rsidRPr="00E66E86">
        <w:rPr>
          <w:rFonts w:eastAsiaTheme="minorEastAsia"/>
          <w:b/>
          <w:lang w:val="en-US"/>
        </w:rPr>
        <w:t>Inventory</w:t>
      </w:r>
    </w:p>
    <w:p w14:paraId="4FA7AC02" w14:textId="77777777" w:rsidR="00E66E86" w:rsidRPr="00E66E86" w:rsidRDefault="00E66E86" w:rsidP="00E66E86">
      <w:pPr>
        <w:numPr>
          <w:ilvl w:val="1"/>
          <w:numId w:val="13"/>
        </w:numPr>
        <w:spacing w:after="0" w:line="240" w:lineRule="auto"/>
        <w:contextualSpacing/>
        <w:rPr>
          <w:rFonts w:eastAsiaTheme="minorEastAsia"/>
          <w:lang w:val="en-US"/>
        </w:rPr>
      </w:pPr>
      <w:r w:rsidRPr="00E66E86">
        <w:rPr>
          <w:rFonts w:eastAsiaTheme="minorEastAsia"/>
          <w:lang w:val="en-US"/>
        </w:rPr>
        <w:t>register</w:t>
      </w:r>
    </w:p>
    <w:p w14:paraId="6E7E9BE5" w14:textId="77777777" w:rsidR="00E66E86" w:rsidRPr="00E66E86" w:rsidRDefault="00E66E86" w:rsidP="00E66E86">
      <w:pPr>
        <w:numPr>
          <w:ilvl w:val="1"/>
          <w:numId w:val="13"/>
        </w:numPr>
        <w:spacing w:after="0" w:line="240" w:lineRule="auto"/>
        <w:contextualSpacing/>
        <w:rPr>
          <w:rFonts w:eastAsiaTheme="minorEastAsia"/>
          <w:lang w:val="en-US"/>
        </w:rPr>
      </w:pPr>
      <w:r w:rsidRPr="00E66E86">
        <w:rPr>
          <w:rFonts w:eastAsiaTheme="minorEastAsia"/>
          <w:lang w:val="en-US"/>
        </w:rPr>
        <w:t>physical check</w:t>
      </w:r>
    </w:p>
    <w:p w14:paraId="774099A4" w14:textId="77777777" w:rsidR="008B3B8D" w:rsidRDefault="008B3B8D" w:rsidP="00E66E86">
      <w:pPr>
        <w:spacing w:after="0" w:line="240" w:lineRule="auto"/>
        <w:rPr>
          <w:b/>
          <w:i/>
          <w:u w:val="single"/>
        </w:rPr>
      </w:pPr>
    </w:p>
    <w:p w14:paraId="1805C208" w14:textId="77777777" w:rsidR="00E66E86" w:rsidRPr="00E66E86" w:rsidRDefault="00E66E86" w:rsidP="00E66E86">
      <w:pPr>
        <w:spacing w:after="0" w:line="240" w:lineRule="auto"/>
        <w:rPr>
          <w:b/>
          <w:i/>
          <w:u w:val="single"/>
        </w:rPr>
      </w:pPr>
      <w:r w:rsidRPr="00E66E86">
        <w:rPr>
          <w:b/>
          <w:i/>
          <w:u w:val="single"/>
        </w:rPr>
        <w:t>G – Payroll:</w:t>
      </w:r>
    </w:p>
    <w:p w14:paraId="2FF1670D" w14:textId="77777777" w:rsidR="00E66E86" w:rsidRPr="00E66E86" w:rsidRDefault="00E66E86" w:rsidP="00E66E86">
      <w:pPr>
        <w:numPr>
          <w:ilvl w:val="0"/>
          <w:numId w:val="14"/>
        </w:numPr>
        <w:spacing w:after="0" w:line="240" w:lineRule="auto"/>
        <w:contextualSpacing/>
        <w:rPr>
          <w:rFonts w:eastAsiaTheme="minorEastAsia"/>
          <w:b/>
          <w:lang w:val="en-US"/>
        </w:rPr>
      </w:pPr>
      <w:r w:rsidRPr="00E66E86">
        <w:rPr>
          <w:rFonts w:eastAsiaTheme="minorEastAsia"/>
          <w:b/>
          <w:lang w:val="en-US"/>
        </w:rPr>
        <w:t>Payments for Additional Hours Worked</w:t>
      </w:r>
    </w:p>
    <w:p w14:paraId="5B0B35C3" w14:textId="77777777" w:rsidR="00E66E86" w:rsidRPr="00E66E86" w:rsidRDefault="00E66E86" w:rsidP="00E66E86">
      <w:pPr>
        <w:numPr>
          <w:ilvl w:val="1"/>
          <w:numId w:val="14"/>
        </w:numPr>
        <w:spacing w:after="0" w:line="240" w:lineRule="auto"/>
        <w:contextualSpacing/>
        <w:rPr>
          <w:rFonts w:eastAsiaTheme="minorEastAsia"/>
          <w:lang w:val="en-US"/>
        </w:rPr>
      </w:pPr>
      <w:r w:rsidRPr="00E66E86">
        <w:rPr>
          <w:rFonts w:eastAsiaTheme="minorEastAsia"/>
          <w:lang w:val="en-US"/>
        </w:rPr>
        <w:t>authorisation</w:t>
      </w:r>
    </w:p>
    <w:p w14:paraId="581A6416" w14:textId="77777777" w:rsidR="00E66E86" w:rsidRPr="00E66E86" w:rsidRDefault="00E66E86" w:rsidP="00E66E86">
      <w:pPr>
        <w:numPr>
          <w:ilvl w:val="1"/>
          <w:numId w:val="14"/>
        </w:numPr>
        <w:spacing w:after="0" w:line="240" w:lineRule="auto"/>
        <w:contextualSpacing/>
        <w:rPr>
          <w:rFonts w:eastAsiaTheme="minorEastAsia"/>
          <w:lang w:val="en-US"/>
        </w:rPr>
      </w:pPr>
      <w:r w:rsidRPr="00E66E86">
        <w:rPr>
          <w:rFonts w:eastAsiaTheme="minorEastAsia"/>
          <w:lang w:val="en-US"/>
        </w:rPr>
        <w:t>segregation of duties</w:t>
      </w:r>
    </w:p>
    <w:p w14:paraId="077E8F90" w14:textId="77777777" w:rsidR="00E66E86" w:rsidRPr="00E66E86" w:rsidRDefault="00E66E86" w:rsidP="00E66E86">
      <w:pPr>
        <w:numPr>
          <w:ilvl w:val="0"/>
          <w:numId w:val="14"/>
        </w:numPr>
        <w:spacing w:after="0" w:line="240" w:lineRule="auto"/>
        <w:contextualSpacing/>
        <w:rPr>
          <w:rFonts w:eastAsiaTheme="minorEastAsia"/>
          <w:b/>
          <w:lang w:val="en-US"/>
        </w:rPr>
      </w:pPr>
      <w:r w:rsidRPr="00E66E86">
        <w:rPr>
          <w:rFonts w:eastAsiaTheme="minorEastAsia"/>
          <w:b/>
          <w:lang w:val="en-US"/>
        </w:rPr>
        <w:t>Payroll Processing</w:t>
      </w:r>
    </w:p>
    <w:p w14:paraId="1D564C8C" w14:textId="77777777" w:rsidR="00E66E86" w:rsidRDefault="00E66E86" w:rsidP="00E66E86">
      <w:pPr>
        <w:numPr>
          <w:ilvl w:val="1"/>
          <w:numId w:val="14"/>
        </w:numPr>
        <w:spacing w:after="0" w:line="240" w:lineRule="auto"/>
        <w:contextualSpacing/>
        <w:rPr>
          <w:rFonts w:eastAsiaTheme="minorEastAsia"/>
          <w:lang w:val="en-US"/>
        </w:rPr>
      </w:pPr>
      <w:r w:rsidRPr="00E66E86">
        <w:rPr>
          <w:rFonts w:eastAsiaTheme="minorEastAsia"/>
          <w:lang w:val="en-US"/>
        </w:rPr>
        <w:t>payroll reconciliation</w:t>
      </w:r>
    </w:p>
    <w:p w14:paraId="6D950369" w14:textId="77777777" w:rsidR="00E66E86" w:rsidRDefault="00E66E86" w:rsidP="00E66E86">
      <w:pPr>
        <w:spacing w:after="0" w:line="240" w:lineRule="auto"/>
        <w:contextualSpacing/>
        <w:rPr>
          <w:rFonts w:eastAsiaTheme="minorEastAsia"/>
          <w:lang w:val="en-US"/>
        </w:rPr>
      </w:pPr>
    </w:p>
    <w:p w14:paraId="033F6A34" w14:textId="77777777" w:rsidR="008B3B8D" w:rsidRDefault="008B3B8D" w:rsidP="00E66E86">
      <w:pPr>
        <w:spacing w:after="0" w:line="240" w:lineRule="auto"/>
        <w:contextualSpacing/>
        <w:rPr>
          <w:rFonts w:eastAsiaTheme="minorEastAsia"/>
          <w:lang w:val="en-US"/>
        </w:rPr>
      </w:pPr>
    </w:p>
    <w:p w14:paraId="12C36A68" w14:textId="77777777" w:rsidR="00E66E86" w:rsidRPr="00E66E86" w:rsidRDefault="00E66E86" w:rsidP="00E66E86">
      <w:pPr>
        <w:rPr>
          <w:b/>
          <w:u w:val="single"/>
        </w:rPr>
      </w:pPr>
      <w:r w:rsidRPr="00E66E86">
        <w:rPr>
          <w:b/>
          <w:u w:val="single"/>
        </w:rPr>
        <w:t>Visit 3</w:t>
      </w:r>
    </w:p>
    <w:p w14:paraId="6DD5DF8F" w14:textId="77777777" w:rsidR="00E66E86" w:rsidRPr="00E66E86" w:rsidRDefault="00E66E86" w:rsidP="00E66E86">
      <w:pPr>
        <w:spacing w:after="0" w:line="240" w:lineRule="auto"/>
        <w:rPr>
          <w:b/>
          <w:i/>
          <w:u w:val="single"/>
        </w:rPr>
      </w:pPr>
      <w:r w:rsidRPr="00E66E86">
        <w:rPr>
          <w:b/>
          <w:i/>
          <w:u w:val="single"/>
        </w:rPr>
        <w:t>H – Governance and Financial Accounting:</w:t>
      </w:r>
    </w:p>
    <w:p w14:paraId="40EE719A" w14:textId="77777777" w:rsidR="00E66E86" w:rsidRPr="00E66E86" w:rsidRDefault="00E66E86" w:rsidP="00E66E86">
      <w:pPr>
        <w:numPr>
          <w:ilvl w:val="0"/>
          <w:numId w:val="15"/>
        </w:numPr>
        <w:spacing w:after="0" w:line="240" w:lineRule="auto"/>
        <w:contextualSpacing/>
        <w:rPr>
          <w:rFonts w:eastAsiaTheme="minorEastAsia"/>
          <w:b/>
          <w:lang w:val="en-US"/>
        </w:rPr>
      </w:pPr>
      <w:r w:rsidRPr="00E66E86">
        <w:rPr>
          <w:rFonts w:eastAsiaTheme="minorEastAsia"/>
          <w:b/>
          <w:lang w:val="en-US"/>
        </w:rPr>
        <w:t>Internal Scrutiny</w:t>
      </w:r>
    </w:p>
    <w:p w14:paraId="1688F624" w14:textId="77777777" w:rsidR="00E66E86" w:rsidRPr="00E66E86" w:rsidRDefault="00E66E86" w:rsidP="00E66E86">
      <w:pPr>
        <w:numPr>
          <w:ilvl w:val="1"/>
          <w:numId w:val="15"/>
        </w:numPr>
        <w:spacing w:after="0" w:line="240" w:lineRule="auto"/>
        <w:contextualSpacing/>
        <w:rPr>
          <w:rFonts w:eastAsiaTheme="minorEastAsia"/>
          <w:lang w:val="en-US"/>
        </w:rPr>
      </w:pPr>
      <w:r w:rsidRPr="00E66E86">
        <w:rPr>
          <w:rFonts w:eastAsiaTheme="minorEastAsia"/>
          <w:lang w:val="en-US"/>
        </w:rPr>
        <w:t>review of internal controls evaluation scope of work</w:t>
      </w:r>
    </w:p>
    <w:p w14:paraId="1F578AB6" w14:textId="77777777" w:rsidR="00E66E86" w:rsidRPr="00E66E86" w:rsidRDefault="00E66E86" w:rsidP="00E66E86">
      <w:pPr>
        <w:numPr>
          <w:ilvl w:val="1"/>
          <w:numId w:val="15"/>
        </w:numPr>
        <w:spacing w:after="0" w:line="240" w:lineRule="auto"/>
        <w:contextualSpacing/>
        <w:rPr>
          <w:rFonts w:eastAsiaTheme="minorEastAsia"/>
          <w:lang w:val="en-US"/>
        </w:rPr>
      </w:pPr>
      <w:r w:rsidRPr="00E66E86">
        <w:rPr>
          <w:rFonts w:eastAsiaTheme="minorEastAsia"/>
          <w:lang w:val="en-US"/>
        </w:rPr>
        <w:t>review of internal controls evaluation reports</w:t>
      </w:r>
    </w:p>
    <w:p w14:paraId="7C713477" w14:textId="77777777" w:rsidR="00E66E86" w:rsidRPr="00E66E86" w:rsidRDefault="00E66E86" w:rsidP="00E66E86">
      <w:pPr>
        <w:numPr>
          <w:ilvl w:val="1"/>
          <w:numId w:val="15"/>
        </w:numPr>
        <w:spacing w:after="0" w:line="240" w:lineRule="auto"/>
        <w:contextualSpacing/>
        <w:rPr>
          <w:rFonts w:eastAsiaTheme="minorEastAsia"/>
          <w:lang w:val="en-US"/>
        </w:rPr>
      </w:pPr>
      <w:r w:rsidRPr="00E66E86">
        <w:rPr>
          <w:rFonts w:eastAsiaTheme="minorEastAsia"/>
          <w:lang w:val="en-US"/>
        </w:rPr>
        <w:t>review of ‘Dear Accounting Officer’ letters</w:t>
      </w:r>
    </w:p>
    <w:p w14:paraId="1DF6BCF5" w14:textId="77777777" w:rsidR="00E66E86" w:rsidRPr="00E66E86" w:rsidRDefault="00E66E86" w:rsidP="00E66E86">
      <w:pPr>
        <w:numPr>
          <w:ilvl w:val="1"/>
          <w:numId w:val="15"/>
        </w:numPr>
        <w:spacing w:after="0" w:line="240" w:lineRule="auto"/>
        <w:contextualSpacing/>
        <w:rPr>
          <w:rFonts w:eastAsiaTheme="minorEastAsia"/>
          <w:lang w:val="en-US"/>
        </w:rPr>
      </w:pPr>
      <w:r w:rsidRPr="00E66E86">
        <w:rPr>
          <w:rFonts w:eastAsiaTheme="minorEastAsia"/>
          <w:lang w:val="en-US"/>
        </w:rPr>
        <w:t>frequency of board and committee meetings</w:t>
      </w:r>
    </w:p>
    <w:p w14:paraId="1DBBC2EC" w14:textId="77777777" w:rsidR="00E66E86" w:rsidRPr="00E66E86" w:rsidRDefault="00E66E86" w:rsidP="00E66E86">
      <w:pPr>
        <w:numPr>
          <w:ilvl w:val="1"/>
          <w:numId w:val="15"/>
        </w:numPr>
        <w:spacing w:after="0" w:line="240" w:lineRule="auto"/>
        <w:contextualSpacing/>
        <w:rPr>
          <w:rFonts w:eastAsiaTheme="minorEastAsia"/>
          <w:lang w:val="en-US"/>
        </w:rPr>
      </w:pPr>
      <w:r w:rsidRPr="00E66E86">
        <w:rPr>
          <w:rFonts w:eastAsiaTheme="minorEastAsia"/>
          <w:lang w:val="en-US"/>
        </w:rPr>
        <w:t xml:space="preserve">follow up of previous ‘high priority’ ICE recommendations </w:t>
      </w:r>
    </w:p>
    <w:p w14:paraId="473188E3" w14:textId="77777777" w:rsidR="00E66E86" w:rsidRPr="00E66E86" w:rsidRDefault="00E66E86" w:rsidP="00E66E86">
      <w:pPr>
        <w:numPr>
          <w:ilvl w:val="1"/>
          <w:numId w:val="15"/>
        </w:numPr>
        <w:spacing w:after="0" w:line="240" w:lineRule="auto"/>
        <w:contextualSpacing/>
        <w:rPr>
          <w:rFonts w:eastAsiaTheme="minorEastAsia"/>
          <w:lang w:val="en-US"/>
        </w:rPr>
      </w:pPr>
      <w:r w:rsidRPr="00E66E86">
        <w:rPr>
          <w:rFonts w:eastAsiaTheme="minorEastAsia"/>
          <w:lang w:val="en-US"/>
        </w:rPr>
        <w:t>review of statutory audit Management Letter</w:t>
      </w:r>
    </w:p>
    <w:p w14:paraId="525D4C4C" w14:textId="77777777" w:rsidR="00E66E86" w:rsidRPr="00E66E86" w:rsidRDefault="00E66E86" w:rsidP="00E66E86">
      <w:pPr>
        <w:numPr>
          <w:ilvl w:val="0"/>
          <w:numId w:val="18"/>
        </w:numPr>
        <w:spacing w:after="0" w:line="240" w:lineRule="auto"/>
        <w:contextualSpacing/>
        <w:rPr>
          <w:rFonts w:eastAsiaTheme="minorEastAsia"/>
          <w:b/>
          <w:lang w:val="en-US"/>
        </w:rPr>
      </w:pPr>
      <w:r w:rsidRPr="00E66E86">
        <w:rPr>
          <w:rFonts w:eastAsiaTheme="minorEastAsia"/>
          <w:b/>
          <w:lang w:val="en-US"/>
        </w:rPr>
        <w:t>Internal Control</w:t>
      </w:r>
    </w:p>
    <w:p w14:paraId="6044E5A9" w14:textId="77777777" w:rsidR="00E66E86" w:rsidRPr="00E66E86" w:rsidRDefault="00E66E86" w:rsidP="00E66E86">
      <w:pPr>
        <w:numPr>
          <w:ilvl w:val="0"/>
          <w:numId w:val="19"/>
        </w:numPr>
        <w:spacing w:after="0" w:line="240" w:lineRule="auto"/>
        <w:ind w:firstLine="414"/>
        <w:contextualSpacing/>
        <w:rPr>
          <w:rFonts w:eastAsiaTheme="minorEastAsia"/>
          <w:lang w:val="en-US"/>
        </w:rPr>
      </w:pPr>
      <w:r w:rsidRPr="00E66E86">
        <w:rPr>
          <w:rFonts w:eastAsiaTheme="minorEastAsia"/>
          <w:lang w:val="en-US"/>
        </w:rPr>
        <w:t>bad debt write off</w:t>
      </w:r>
    </w:p>
    <w:p w14:paraId="32D9FDE5" w14:textId="77777777" w:rsidR="008B3B8D" w:rsidRPr="00E66E86" w:rsidRDefault="008B3B8D" w:rsidP="00E66E86">
      <w:pPr>
        <w:spacing w:after="0" w:line="240" w:lineRule="auto"/>
        <w:rPr>
          <w:i/>
          <w:u w:val="single"/>
        </w:rPr>
      </w:pPr>
    </w:p>
    <w:p w14:paraId="730F9B58" w14:textId="77777777" w:rsidR="00E66E86" w:rsidRPr="00E66E86" w:rsidRDefault="00E66E86" w:rsidP="00E66E86">
      <w:pPr>
        <w:spacing w:after="0" w:line="240" w:lineRule="auto"/>
        <w:rPr>
          <w:b/>
          <w:i/>
          <w:u w:val="single"/>
        </w:rPr>
      </w:pPr>
      <w:r w:rsidRPr="00E66E86">
        <w:rPr>
          <w:b/>
          <w:i/>
          <w:u w:val="single"/>
        </w:rPr>
        <w:t>I – Expenditure:</w:t>
      </w:r>
    </w:p>
    <w:p w14:paraId="38C763E6" w14:textId="77777777" w:rsidR="00E66E86" w:rsidRPr="00E66E86" w:rsidRDefault="00E66E86" w:rsidP="00E66E86">
      <w:pPr>
        <w:numPr>
          <w:ilvl w:val="0"/>
          <w:numId w:val="16"/>
        </w:numPr>
        <w:spacing w:after="0" w:line="240" w:lineRule="auto"/>
        <w:contextualSpacing/>
        <w:rPr>
          <w:rFonts w:eastAsiaTheme="minorEastAsia"/>
          <w:b/>
          <w:lang w:val="en-US"/>
        </w:rPr>
      </w:pPr>
      <w:r w:rsidRPr="00E66E86">
        <w:rPr>
          <w:rFonts w:eastAsiaTheme="minorEastAsia"/>
          <w:b/>
          <w:lang w:val="en-US"/>
        </w:rPr>
        <w:t>Internal Procedure</w:t>
      </w:r>
    </w:p>
    <w:p w14:paraId="54503BCE"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delegated authorisation levels</w:t>
      </w:r>
    </w:p>
    <w:p w14:paraId="25133218"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purchase cards</w:t>
      </w:r>
    </w:p>
    <w:p w14:paraId="6C75778A"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petty cash</w:t>
      </w:r>
    </w:p>
    <w:p w14:paraId="7177EB81" w14:textId="77777777" w:rsidR="00E66E86" w:rsidRPr="00E66E86" w:rsidRDefault="00E66E86" w:rsidP="00E66E86">
      <w:pPr>
        <w:numPr>
          <w:ilvl w:val="0"/>
          <w:numId w:val="16"/>
        </w:numPr>
        <w:spacing w:after="0" w:line="240" w:lineRule="auto"/>
        <w:contextualSpacing/>
        <w:rPr>
          <w:rFonts w:eastAsiaTheme="minorEastAsia"/>
          <w:b/>
          <w:lang w:val="en-US"/>
        </w:rPr>
      </w:pPr>
      <w:r w:rsidRPr="00E66E86">
        <w:rPr>
          <w:rFonts w:eastAsiaTheme="minorEastAsia"/>
          <w:b/>
          <w:lang w:val="en-US"/>
        </w:rPr>
        <w:t>Proper and Regular Use of Public Funds</w:t>
      </w:r>
    </w:p>
    <w:p w14:paraId="2092B62A"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value for money procedures</w:t>
      </w:r>
    </w:p>
    <w:p w14:paraId="37633E4D"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quotations &amp; annual contracts</w:t>
      </w:r>
    </w:p>
    <w:p w14:paraId="7559F007"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tenders</w:t>
      </w:r>
    </w:p>
    <w:p w14:paraId="165A3781" w14:textId="77777777" w:rsidR="00E66E86" w:rsidRPr="00E66E86" w:rsidRDefault="00E66E86" w:rsidP="00E66E86">
      <w:pPr>
        <w:numPr>
          <w:ilvl w:val="0"/>
          <w:numId w:val="16"/>
        </w:numPr>
        <w:spacing w:after="0" w:line="240" w:lineRule="auto"/>
        <w:contextualSpacing/>
        <w:rPr>
          <w:rFonts w:eastAsiaTheme="minorEastAsia"/>
          <w:b/>
          <w:lang w:val="en-US"/>
        </w:rPr>
      </w:pPr>
      <w:r w:rsidRPr="00E66E86">
        <w:rPr>
          <w:rFonts w:eastAsiaTheme="minorEastAsia"/>
          <w:b/>
          <w:lang w:val="en-US"/>
        </w:rPr>
        <w:t>Internal Control</w:t>
      </w:r>
    </w:p>
    <w:p w14:paraId="1E100630"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sample testing of purchase orders &amp; invoices</w:t>
      </w:r>
    </w:p>
    <w:p w14:paraId="67CA2D5C" w14:textId="77777777" w:rsidR="00E66E86" w:rsidRPr="00E66E86" w:rsidRDefault="00E66E86" w:rsidP="00E66E86">
      <w:pPr>
        <w:numPr>
          <w:ilvl w:val="0"/>
          <w:numId w:val="16"/>
        </w:numPr>
        <w:spacing w:after="0" w:line="240" w:lineRule="auto"/>
        <w:contextualSpacing/>
        <w:rPr>
          <w:rFonts w:eastAsiaTheme="minorEastAsia"/>
          <w:b/>
          <w:lang w:val="en-US"/>
        </w:rPr>
      </w:pPr>
      <w:r w:rsidRPr="00E66E86">
        <w:rPr>
          <w:rFonts w:eastAsiaTheme="minorEastAsia"/>
          <w:b/>
          <w:lang w:val="en-US"/>
        </w:rPr>
        <w:t>Connected Parties</w:t>
      </w:r>
    </w:p>
    <w:p w14:paraId="523B1F07"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recognising connected party relationships</w:t>
      </w:r>
    </w:p>
    <w:p w14:paraId="41222C01"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connected party transactions</w:t>
      </w:r>
    </w:p>
    <w:p w14:paraId="56FF01BF" w14:textId="77777777" w:rsidR="00E66E86" w:rsidRPr="00E66E86" w:rsidRDefault="00E66E86" w:rsidP="00E66E86">
      <w:pPr>
        <w:numPr>
          <w:ilvl w:val="0"/>
          <w:numId w:val="16"/>
        </w:numPr>
        <w:spacing w:after="0" w:line="240" w:lineRule="auto"/>
        <w:contextualSpacing/>
        <w:rPr>
          <w:rFonts w:eastAsiaTheme="minorEastAsia"/>
          <w:b/>
          <w:lang w:val="en-US"/>
        </w:rPr>
      </w:pPr>
      <w:r w:rsidRPr="00E66E86">
        <w:rPr>
          <w:rFonts w:eastAsiaTheme="minorEastAsia"/>
          <w:b/>
          <w:lang w:val="en-US"/>
        </w:rPr>
        <w:t>Tax Implications</w:t>
      </w:r>
    </w:p>
    <w:p w14:paraId="0FF2DEFF" w14:textId="77777777" w:rsidR="00E66E86" w:rsidRPr="00E66E86"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payments made to individuals for HMRC compliance</w:t>
      </w:r>
    </w:p>
    <w:p w14:paraId="7361919C" w14:textId="77777777" w:rsidR="00E66E86" w:rsidRPr="00E66E86" w:rsidRDefault="00E66E86" w:rsidP="00E66E86">
      <w:pPr>
        <w:numPr>
          <w:ilvl w:val="0"/>
          <w:numId w:val="16"/>
        </w:numPr>
        <w:spacing w:after="0" w:line="240" w:lineRule="auto"/>
        <w:contextualSpacing/>
        <w:rPr>
          <w:rFonts w:eastAsiaTheme="minorEastAsia"/>
          <w:lang w:val="en-US"/>
        </w:rPr>
      </w:pPr>
      <w:r w:rsidRPr="00E66E86">
        <w:rPr>
          <w:rFonts w:eastAsiaTheme="minorEastAsia"/>
          <w:b/>
          <w:lang w:val="en-US"/>
        </w:rPr>
        <w:t>Persons with Significant Control</w:t>
      </w:r>
    </w:p>
    <w:p w14:paraId="28F76275" w14:textId="11B9D416" w:rsidR="00E66E86" w:rsidRPr="008B3B8D" w:rsidRDefault="00E66E86" w:rsidP="00E66E86">
      <w:pPr>
        <w:numPr>
          <w:ilvl w:val="1"/>
          <w:numId w:val="16"/>
        </w:numPr>
        <w:spacing w:after="0" w:line="240" w:lineRule="auto"/>
        <w:contextualSpacing/>
        <w:rPr>
          <w:rFonts w:eastAsiaTheme="minorEastAsia"/>
          <w:lang w:val="en-US"/>
        </w:rPr>
      </w:pPr>
      <w:r w:rsidRPr="00E66E86">
        <w:rPr>
          <w:rFonts w:eastAsiaTheme="minorEastAsia"/>
          <w:lang w:val="en-US"/>
        </w:rPr>
        <w:t>register</w:t>
      </w:r>
    </w:p>
    <w:p w14:paraId="6FEE0C16" w14:textId="77777777" w:rsidR="008B3B8D" w:rsidRPr="00E66E86" w:rsidRDefault="008B3B8D" w:rsidP="00E66E86">
      <w:pPr>
        <w:spacing w:after="0" w:line="240" w:lineRule="auto"/>
        <w:rPr>
          <w:i/>
          <w:u w:val="single"/>
        </w:rPr>
      </w:pPr>
    </w:p>
    <w:p w14:paraId="3588F839" w14:textId="77777777" w:rsidR="00E66E86" w:rsidRPr="00E66E86" w:rsidRDefault="00E66E86" w:rsidP="00E66E86">
      <w:pPr>
        <w:spacing w:after="0" w:line="240" w:lineRule="auto"/>
        <w:rPr>
          <w:b/>
          <w:i/>
          <w:u w:val="single"/>
        </w:rPr>
      </w:pPr>
      <w:r w:rsidRPr="00E66E86">
        <w:rPr>
          <w:b/>
          <w:i/>
          <w:u w:val="single"/>
        </w:rPr>
        <w:t>J – Payroll:</w:t>
      </w:r>
    </w:p>
    <w:p w14:paraId="62A78041" w14:textId="77777777" w:rsidR="00E66E86" w:rsidRPr="00E66E86" w:rsidRDefault="00E66E86" w:rsidP="00E66E86">
      <w:pPr>
        <w:numPr>
          <w:ilvl w:val="0"/>
          <w:numId w:val="17"/>
        </w:numPr>
        <w:spacing w:after="0" w:line="240" w:lineRule="auto"/>
        <w:contextualSpacing/>
        <w:rPr>
          <w:rFonts w:eastAsiaTheme="minorEastAsia"/>
          <w:b/>
          <w:lang w:val="en-US"/>
        </w:rPr>
      </w:pPr>
      <w:r w:rsidRPr="00E66E86">
        <w:rPr>
          <w:rFonts w:eastAsiaTheme="minorEastAsia"/>
          <w:b/>
          <w:lang w:val="en-US"/>
        </w:rPr>
        <w:t>Payroll Processing</w:t>
      </w:r>
    </w:p>
    <w:p w14:paraId="4EF0222B" w14:textId="77777777" w:rsidR="00E66E86" w:rsidRPr="00E66E86" w:rsidRDefault="00E66E86" w:rsidP="00E66E86">
      <w:pPr>
        <w:numPr>
          <w:ilvl w:val="1"/>
          <w:numId w:val="17"/>
        </w:numPr>
        <w:spacing w:after="0" w:line="240" w:lineRule="auto"/>
        <w:contextualSpacing/>
        <w:rPr>
          <w:rFonts w:eastAsiaTheme="minorEastAsia"/>
          <w:lang w:val="en-US"/>
        </w:rPr>
      </w:pPr>
      <w:r w:rsidRPr="00E66E86">
        <w:rPr>
          <w:rFonts w:eastAsiaTheme="minorEastAsia"/>
          <w:lang w:val="en-US"/>
        </w:rPr>
        <w:t>authorisation</w:t>
      </w:r>
    </w:p>
    <w:p w14:paraId="6D5B9C51" w14:textId="77777777" w:rsidR="00E66E86" w:rsidRPr="00E66E86" w:rsidRDefault="00E66E86" w:rsidP="00E66E86">
      <w:pPr>
        <w:numPr>
          <w:ilvl w:val="1"/>
          <w:numId w:val="17"/>
        </w:numPr>
        <w:spacing w:after="0" w:line="240" w:lineRule="auto"/>
        <w:contextualSpacing/>
        <w:rPr>
          <w:rFonts w:eastAsiaTheme="minorEastAsia"/>
          <w:lang w:val="en-US"/>
        </w:rPr>
      </w:pPr>
      <w:r w:rsidRPr="00E66E86">
        <w:rPr>
          <w:rFonts w:eastAsiaTheme="minorEastAsia"/>
          <w:lang w:val="en-US"/>
        </w:rPr>
        <w:t>contract change approval &amp; segregation of duties</w:t>
      </w:r>
    </w:p>
    <w:p w14:paraId="6E88C150" w14:textId="77777777" w:rsidR="00E66E86" w:rsidRPr="00E66E86" w:rsidRDefault="00E66E86" w:rsidP="00E66E86">
      <w:pPr>
        <w:numPr>
          <w:ilvl w:val="1"/>
          <w:numId w:val="17"/>
        </w:numPr>
        <w:spacing w:after="0" w:line="240" w:lineRule="auto"/>
        <w:contextualSpacing/>
        <w:rPr>
          <w:rFonts w:eastAsiaTheme="minorEastAsia"/>
          <w:lang w:val="en-US"/>
        </w:rPr>
      </w:pPr>
      <w:r w:rsidRPr="00E66E86">
        <w:rPr>
          <w:rFonts w:eastAsiaTheme="minorEastAsia"/>
          <w:lang w:val="en-US"/>
        </w:rPr>
        <w:t>sample testing of staff contracts and payments</w:t>
      </w:r>
    </w:p>
    <w:p w14:paraId="0F6D1DDD" w14:textId="77777777" w:rsidR="00E66E86" w:rsidRPr="00E66E86" w:rsidRDefault="00E66E86" w:rsidP="00E66E86">
      <w:pPr>
        <w:numPr>
          <w:ilvl w:val="0"/>
          <w:numId w:val="17"/>
        </w:numPr>
        <w:spacing w:after="0" w:line="240" w:lineRule="auto"/>
        <w:contextualSpacing/>
        <w:rPr>
          <w:rFonts w:eastAsiaTheme="minorEastAsia"/>
          <w:b/>
          <w:lang w:val="en-US"/>
        </w:rPr>
      </w:pPr>
      <w:r w:rsidRPr="00E66E86">
        <w:rPr>
          <w:rFonts w:eastAsiaTheme="minorEastAsia"/>
          <w:b/>
          <w:lang w:val="en-US"/>
        </w:rPr>
        <w:t>Special Payments</w:t>
      </w:r>
    </w:p>
    <w:p w14:paraId="681F6E3D" w14:textId="77777777" w:rsidR="00E66E86" w:rsidRPr="00E66E86" w:rsidRDefault="00E66E86" w:rsidP="00E66E86">
      <w:pPr>
        <w:numPr>
          <w:ilvl w:val="1"/>
          <w:numId w:val="17"/>
        </w:numPr>
        <w:spacing w:after="0" w:line="240" w:lineRule="auto"/>
        <w:contextualSpacing/>
        <w:rPr>
          <w:rFonts w:eastAsiaTheme="minorEastAsia"/>
          <w:lang w:val="en-US"/>
        </w:rPr>
      </w:pPr>
      <w:r w:rsidRPr="00E66E86">
        <w:rPr>
          <w:rFonts w:eastAsiaTheme="minorEastAsia"/>
          <w:lang w:val="en-US"/>
        </w:rPr>
        <w:t>approved policy</w:t>
      </w:r>
    </w:p>
    <w:p w14:paraId="18D51AE4" w14:textId="77777777" w:rsidR="00E66E86" w:rsidRPr="00E66E86" w:rsidRDefault="00E66E86" w:rsidP="00E66E86"/>
    <w:p w14:paraId="77F99433" w14:textId="77777777" w:rsidR="00C8332F" w:rsidRPr="0027357B" w:rsidRDefault="00C8332F" w:rsidP="00C8332F">
      <w:pPr>
        <w:rPr>
          <w:b/>
        </w:rPr>
      </w:pPr>
      <w:r w:rsidRPr="0027357B">
        <w:rPr>
          <w:b/>
        </w:rPr>
        <w:t>Note 1: The above scope is currently in draft form. The scope will be reviewed and finalised following the issue of the Academies Financial Handbook, effective 1</w:t>
      </w:r>
      <w:r w:rsidRPr="0027357B">
        <w:rPr>
          <w:b/>
          <w:vertAlign w:val="superscript"/>
        </w:rPr>
        <w:t>st</w:t>
      </w:r>
      <w:r w:rsidRPr="0027357B">
        <w:rPr>
          <w:b/>
        </w:rPr>
        <w:t xml:space="preserve"> September 2018.</w:t>
      </w:r>
    </w:p>
    <w:p w14:paraId="3CB75A92" w14:textId="77777777" w:rsidR="00C8332F" w:rsidRPr="0027357B" w:rsidRDefault="00C8332F" w:rsidP="00C8332F">
      <w:pPr>
        <w:rPr>
          <w:b/>
        </w:rPr>
      </w:pPr>
      <w:r w:rsidRPr="0027357B">
        <w:rPr>
          <w:b/>
        </w:rPr>
        <w:t xml:space="preserve">Note 2: the above list is subject to constant review and change based on updated guidance.  Other areas of internal control may be reviewed at the discretion of the ICE Consultant.  </w:t>
      </w:r>
    </w:p>
    <w:p w14:paraId="611A580C" w14:textId="77777777" w:rsidR="00C8332F" w:rsidRPr="0027357B" w:rsidRDefault="00C8332F" w:rsidP="00C8332F">
      <w:r w:rsidRPr="0027357B">
        <w:t xml:space="preserve">We aim to deliver a report within 10 working days, the content of which will be discussed with a representative of the </w:t>
      </w:r>
      <w:r>
        <w:t xml:space="preserve">multi academy trust / </w:t>
      </w:r>
      <w:r w:rsidRPr="0027357B">
        <w:t>academy at the close of the visit.</w:t>
      </w:r>
    </w:p>
    <w:p w14:paraId="56F92A4A" w14:textId="77777777" w:rsidR="00E66E86" w:rsidRDefault="00E66E86" w:rsidP="00B03D37">
      <w:pPr>
        <w:autoSpaceDE w:val="0"/>
        <w:autoSpaceDN w:val="0"/>
        <w:adjustRightInd w:val="0"/>
        <w:spacing w:after="0" w:line="240" w:lineRule="auto"/>
        <w:rPr>
          <w:color w:val="000000"/>
        </w:rPr>
      </w:pPr>
      <w:bookmarkStart w:id="0" w:name="_GoBack"/>
      <w:bookmarkEnd w:id="0"/>
    </w:p>
    <w:p w14:paraId="7D4C0F85" w14:textId="77777777" w:rsidR="004D648B" w:rsidRDefault="004D648B" w:rsidP="00B03D37">
      <w:pPr>
        <w:autoSpaceDE w:val="0"/>
        <w:autoSpaceDN w:val="0"/>
        <w:adjustRightInd w:val="0"/>
        <w:spacing w:after="0" w:line="240" w:lineRule="auto"/>
        <w:rPr>
          <w:color w:val="000000"/>
        </w:rPr>
      </w:pPr>
    </w:p>
    <w:p w14:paraId="69FC62CA" w14:textId="77777777" w:rsidR="004D648B" w:rsidRPr="00B03D37" w:rsidRDefault="004D648B" w:rsidP="00B03D37">
      <w:pPr>
        <w:autoSpaceDE w:val="0"/>
        <w:autoSpaceDN w:val="0"/>
        <w:adjustRightInd w:val="0"/>
        <w:spacing w:after="0" w:line="240" w:lineRule="auto"/>
        <w:rPr>
          <w:color w:val="000000"/>
        </w:rPr>
      </w:pPr>
    </w:p>
    <w:p w14:paraId="0A8A566C" w14:textId="77777777" w:rsidR="002A7B38" w:rsidRDefault="002A7B38" w:rsidP="002A7B38"/>
    <w:sectPr w:rsidR="002A7B38" w:rsidSect="008B3B8D">
      <w:footerReference w:type="default" r:id="rId10"/>
      <w:headerReference w:type="first" r:id="rId11"/>
      <w:footerReference w:type="first" r:id="rId12"/>
      <w:pgSz w:w="11906" w:h="16838"/>
      <w:pgMar w:top="720" w:right="720" w:bottom="720" w:left="720"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F5E68" w14:textId="77777777" w:rsidR="00816905" w:rsidRDefault="00816905" w:rsidP="000B29F1">
      <w:pPr>
        <w:spacing w:after="0" w:line="240" w:lineRule="auto"/>
      </w:pPr>
      <w:r>
        <w:separator/>
      </w:r>
    </w:p>
  </w:endnote>
  <w:endnote w:type="continuationSeparator" w:id="0">
    <w:p w14:paraId="2315F3F5" w14:textId="77777777" w:rsidR="00816905" w:rsidRDefault="00816905"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etaBold-Roman">
    <w:panose1 w:val="020B0802030000020004"/>
    <w:charset w:val="00"/>
    <w:family w:val="swiss"/>
    <w:pitch w:val="variable"/>
    <w:sig w:usb0="80000027" w:usb1="00000000" w:usb2="00000000" w:usb3="00000000" w:csb0="00000001" w:csb1="00000000"/>
  </w:font>
  <w:font w:name="MetaNormal-Roman">
    <w:panose1 w:val="020B05020300000200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C1854" w14:textId="2D4CEB2D" w:rsidR="00816905" w:rsidRPr="006848CF" w:rsidRDefault="00C05AFE" w:rsidP="00A426C2">
    <w:pPr>
      <w:pStyle w:val="Footer"/>
      <w:tabs>
        <w:tab w:val="clear" w:pos="9026"/>
        <w:tab w:val="right" w:pos="9781"/>
      </w:tabs>
      <w:ind w:left="-709" w:right="-755"/>
      <w:jc w:val="center"/>
      <w:rPr>
        <w:rFonts w:ascii="MetaBold-Roman" w:hAnsi="MetaBold-Roman"/>
        <w:color w:val="D50032"/>
        <w:sz w:val="20"/>
        <w:szCs w:val="20"/>
      </w:rPr>
    </w:pPr>
    <w:r w:rsidRPr="006848CF">
      <w:rPr>
        <w:noProof/>
        <w:lang w:eastAsia="en-GB"/>
      </w:rPr>
      <mc:AlternateContent>
        <mc:Choice Requires="wps">
          <w:drawing>
            <wp:anchor distT="0" distB="0" distL="114300" distR="114300" simplePos="0" relativeHeight="251666432" behindDoc="0" locked="0" layoutInCell="1" allowOverlap="1" wp14:anchorId="6EB5A735" wp14:editId="49DC8022">
              <wp:simplePos x="0" y="0"/>
              <wp:positionH relativeFrom="column">
                <wp:posOffset>-1654175</wp:posOffset>
              </wp:positionH>
              <wp:positionV relativeFrom="paragraph">
                <wp:posOffset>-130629</wp:posOffset>
              </wp:positionV>
              <wp:extent cx="1298067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298067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0.25pt,-10.3pt" to="891.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" strokecolor="#a5a5a5 [2092]"/>
          </w:pict>
        </mc:Fallback>
      </mc:AlternateContent>
    </w:r>
    <w:r w:rsidR="00575672">
      <w:rPr>
        <w:rFonts w:ascii="MetaBold-Roman" w:hAnsi="MetaBold-Roman"/>
        <w:color w:val="D50032"/>
        <w:sz w:val="20"/>
        <w:szCs w:val="20"/>
      </w:rPr>
      <w:t>Education Finance Support, EES for schools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3BF84" w14:textId="77777777" w:rsidR="00816905" w:rsidRDefault="00816905" w:rsidP="007657E8">
    <w:pPr>
      <w:pStyle w:val="Footer"/>
      <w:tabs>
        <w:tab w:val="clear" w:pos="9026"/>
        <w:tab w:val="right" w:pos="9781"/>
      </w:tabs>
      <w:ind w:left="-709" w:right="-755"/>
      <w:rPr>
        <w:rFonts w:ascii="MetaBold-Roman" w:hAnsi="MetaBold-Roman"/>
        <w:color w:val="D50032"/>
        <w:sz w:val="20"/>
        <w:szCs w:val="20"/>
      </w:rPr>
    </w:pPr>
  </w:p>
  <w:p w14:paraId="16170C96" w14:textId="071887BE" w:rsidR="00816905" w:rsidRPr="00D56BB1" w:rsidRDefault="00816905" w:rsidP="008B3B8D">
    <w:pPr>
      <w:pStyle w:val="Footer"/>
      <w:tabs>
        <w:tab w:val="clear" w:pos="9026"/>
        <w:tab w:val="right" w:pos="9781"/>
      </w:tabs>
      <w:ind w:right="-755"/>
      <w:rPr>
        <w:rFonts w:ascii="MetaBold-Roman" w:hAnsi="MetaBold-Roman"/>
        <w:color w:val="D50032"/>
        <w:sz w:val="20"/>
        <w:szCs w:val="20"/>
      </w:rPr>
    </w:pPr>
    <w:r w:rsidRPr="00CB2C44">
      <w:rPr>
        <w:rFonts w:ascii="MetaBold-Roman" w:hAnsi="MetaBold-Roman"/>
        <w:noProof/>
        <w:color w:val="4E5758"/>
        <w:sz w:val="20"/>
        <w:szCs w:val="20"/>
        <w:lang w:eastAsia="en-GB"/>
      </w:rPr>
      <mc:AlternateContent>
        <mc:Choice Requires="wps">
          <w:drawing>
            <wp:anchor distT="0" distB="0" distL="114300" distR="114300" simplePos="0" relativeHeight="251662336" behindDoc="0" locked="0" layoutInCell="1" allowOverlap="1" wp14:anchorId="21BEAF22" wp14:editId="2B516BF1">
              <wp:simplePos x="0" y="0"/>
              <wp:positionH relativeFrom="column">
                <wp:posOffset>-445770</wp:posOffset>
              </wp:positionH>
              <wp:positionV relativeFrom="paragraph">
                <wp:posOffset>-52705</wp:posOffset>
              </wp:positionV>
              <wp:extent cx="8138795" cy="0"/>
              <wp:effectExtent l="0" t="0" r="14605" b="19050"/>
              <wp:wrapNone/>
              <wp:docPr id="5" name="Straight Connector 5"/>
              <wp:cNvGraphicFramePr/>
              <a:graphic xmlns:a="http://schemas.openxmlformats.org/drawingml/2006/main">
                <a:graphicData uri="http://schemas.microsoft.com/office/word/2010/wordprocessingShape">
                  <wps:wsp>
                    <wps:cNvCnPr/>
                    <wps:spPr>
                      <a:xfrm>
                        <a:off x="0" y="0"/>
                        <a:ext cx="81387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4.15pt" to="605.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" strokecolor="#a5a5a5 [2092]"/>
          </w:pict>
        </mc:Fallback>
      </mc:AlternateContent>
    </w:r>
    <w:r w:rsidR="005C3C0E">
      <w:rPr>
        <w:rFonts w:ascii="MetaBold-Roman" w:hAnsi="MetaBold-Roman"/>
        <w:color w:val="D50032"/>
        <w:sz w:val="20"/>
        <w:szCs w:val="20"/>
      </w:rPr>
      <w:t xml:space="preserve">Education Finance Support, </w:t>
    </w:r>
    <w:r w:rsidRPr="00D56BB1">
      <w:rPr>
        <w:rFonts w:ascii="MetaBold-Roman" w:hAnsi="MetaBold-Roman"/>
        <w:color w:val="D50032"/>
        <w:sz w:val="20"/>
        <w:szCs w:val="20"/>
      </w:rPr>
      <w:t>EES for Schools</w:t>
    </w:r>
  </w:p>
  <w:p w14:paraId="0D4AA3F9" w14:textId="77777777" w:rsidR="00816905" w:rsidRPr="00D56BB1" w:rsidRDefault="00816905" w:rsidP="008B3B8D">
    <w:pPr>
      <w:pStyle w:val="Footer"/>
      <w:tabs>
        <w:tab w:val="clear" w:pos="9026"/>
        <w:tab w:val="right" w:pos="9781"/>
      </w:tabs>
      <w:ind w:right="-755"/>
      <w:rPr>
        <w:rFonts w:ascii="MetaNormal-Roman" w:hAnsi="MetaNormal-Roman"/>
        <w:sz w:val="20"/>
        <w:szCs w:val="20"/>
      </w:rPr>
    </w:pPr>
    <w:proofErr w:type="spellStart"/>
    <w:r w:rsidRPr="00D56BB1">
      <w:rPr>
        <w:rFonts w:ascii="MetaNormal-Roman" w:hAnsi="MetaNormal-Roman"/>
        <w:sz w:val="20"/>
        <w:szCs w:val="20"/>
      </w:rPr>
      <w:t>Seax</w:t>
    </w:r>
    <w:proofErr w:type="spellEnd"/>
    <w:r w:rsidRPr="00D56BB1">
      <w:rPr>
        <w:rFonts w:ascii="MetaNormal-Roman" w:hAnsi="MetaNormal-Roman"/>
        <w:sz w:val="20"/>
        <w:szCs w:val="20"/>
      </w:rPr>
      <w:t xml:space="preserve"> House, Victoria</w:t>
    </w:r>
    <w:r w:rsidR="00ED4FE5">
      <w:rPr>
        <w:rFonts w:ascii="MetaNormal-Roman" w:hAnsi="MetaNormal-Roman"/>
        <w:sz w:val="20"/>
        <w:szCs w:val="20"/>
      </w:rPr>
      <w:t xml:space="preserve"> Road South, Chelmsford, CM1 1QH</w:t>
    </w:r>
  </w:p>
  <w:p w14:paraId="038133E5" w14:textId="77777777" w:rsidR="00816905" w:rsidRPr="007657E8" w:rsidRDefault="00816905" w:rsidP="008B3B8D">
    <w:pPr>
      <w:pStyle w:val="Footer"/>
      <w:tabs>
        <w:tab w:val="clear" w:pos="9026"/>
        <w:tab w:val="right" w:pos="9781"/>
      </w:tabs>
      <w:ind w:right="-755"/>
      <w:rPr>
        <w:rFonts w:ascii="MetaNormal-Roman" w:hAnsi="MetaNormal-Roman"/>
        <w:sz w:val="20"/>
        <w:szCs w:val="20"/>
      </w:rPr>
    </w:pPr>
    <w:r w:rsidRPr="00D56BB1">
      <w:rPr>
        <w:rFonts w:ascii="MetaBold-Roman" w:hAnsi="MetaBold-Roman"/>
        <w:color w:val="D50032"/>
        <w:sz w:val="20"/>
        <w:szCs w:val="20"/>
      </w:rPr>
      <w:t>E:</w:t>
    </w:r>
    <w:r w:rsidR="008F25B2">
      <w:rPr>
        <w:rFonts w:ascii="MetaNormal-Roman" w:hAnsi="MetaNormal-Roman"/>
        <w:sz w:val="20"/>
        <w:szCs w:val="20"/>
      </w:rPr>
      <w:t xml:space="preserve"> enquiries</w:t>
    </w:r>
    <w:r w:rsidRPr="00D56BB1">
      <w:rPr>
        <w:rFonts w:ascii="MetaNormal-Roman" w:hAnsi="MetaNormal-Roman"/>
        <w:sz w:val="20"/>
        <w:szCs w:val="20"/>
      </w:rPr>
      <w:t xml:space="preserve">@EESforschools.org </w:t>
    </w:r>
    <w:r w:rsidR="00203327">
      <w:rPr>
        <w:rFonts w:ascii="MetaNormal-Roman" w:hAnsi="MetaNormal-Roman"/>
        <w:sz w:val="20"/>
        <w:szCs w:val="20"/>
      </w:rPr>
      <w:t xml:space="preserve">| </w:t>
    </w:r>
    <w:r w:rsidRPr="00D56BB1">
      <w:rPr>
        <w:rFonts w:ascii="MetaBold-Roman" w:hAnsi="MetaBold-Roman"/>
        <w:color w:val="D50032"/>
        <w:sz w:val="20"/>
        <w:szCs w:val="20"/>
      </w:rPr>
      <w:t>T:</w:t>
    </w:r>
    <w:r w:rsidRPr="00D56BB1">
      <w:rPr>
        <w:rFonts w:ascii="MetaNormal-Roman" w:hAnsi="MetaNormal-Roman"/>
        <w:sz w:val="20"/>
        <w:szCs w:val="20"/>
      </w:rPr>
      <w:t xml:space="preserve"> 0</w:t>
    </w:r>
    <w:r w:rsidR="00BB6832">
      <w:rPr>
        <w:rFonts w:ascii="MetaNormal-Roman" w:hAnsi="MetaNormal-Roman"/>
        <w:sz w:val="20"/>
        <w:szCs w:val="20"/>
      </w:rPr>
      <w:t>3</w:t>
    </w:r>
    <w:r w:rsidRPr="00D56BB1">
      <w:rPr>
        <w:rFonts w:ascii="MetaNormal-Roman" w:hAnsi="MetaNormal-Roman"/>
        <w:sz w:val="20"/>
        <w:szCs w:val="20"/>
      </w:rPr>
      <w:t>45 200 8600</w:t>
    </w:r>
    <w:r w:rsidR="00721503">
      <w:rPr>
        <w:rFonts w:ascii="MetaNormal-Roman" w:hAnsi="MetaNormal-Roman"/>
        <w:sz w:val="20"/>
        <w:szCs w:val="20"/>
      </w:rPr>
      <w:t xml:space="preserve"> </w:t>
    </w:r>
    <w:r w:rsidR="00203327">
      <w:rPr>
        <w:rFonts w:ascii="MetaNormal-Roman" w:hAnsi="MetaNormal-Roman"/>
        <w:sz w:val="20"/>
        <w:szCs w:val="20"/>
      </w:rPr>
      <w:t xml:space="preserve">| </w:t>
    </w:r>
    <w:r w:rsidRPr="00D56BB1">
      <w:rPr>
        <w:rFonts w:ascii="MetaBold-Roman" w:hAnsi="MetaBold-Roman"/>
        <w:color w:val="D50032"/>
        <w:sz w:val="20"/>
        <w:szCs w:val="20"/>
      </w:rPr>
      <w:t>W:</w:t>
    </w:r>
    <w:r w:rsidRPr="00D56BB1">
      <w:rPr>
        <w:rFonts w:ascii="MetaNormal-Roman" w:hAnsi="MetaNormal-Roman"/>
        <w:sz w:val="20"/>
        <w:szCs w:val="20"/>
      </w:rPr>
      <w:t xml:space="preserve"> </w:t>
    </w:r>
    <w:r w:rsidRPr="009B256E">
      <w:rPr>
        <w:rFonts w:ascii="MetaNormal-Roman" w:hAnsi="MetaNormal-Roman"/>
        <w:sz w:val="20"/>
        <w:szCs w:val="20"/>
      </w:rPr>
      <w:t>EESforschools.org</w:t>
    </w:r>
    <w:r>
      <w:rPr>
        <w:rFonts w:ascii="MetaNormal-Roman" w:hAnsi="MetaNormal-Roman"/>
        <w:sz w:val="20"/>
        <w:szCs w:val="20"/>
      </w:rPr>
      <w:t xml:space="preserve">        </w:t>
    </w:r>
    <w:r w:rsidRPr="00AB1DFE">
      <w:rPr>
        <w:rFonts w:ascii="MetaNormal-Roman" w:hAnsi="MetaNormal-Roman"/>
        <w:color w:val="58585B"/>
        <w:sz w:val="18"/>
        <w:szCs w:val="18"/>
      </w:rPr>
      <w:t>EES for Schools is owned by Essex County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03001" w14:textId="77777777" w:rsidR="00816905" w:rsidRDefault="00816905" w:rsidP="000B29F1">
      <w:pPr>
        <w:spacing w:after="0" w:line="240" w:lineRule="auto"/>
      </w:pPr>
      <w:r>
        <w:separator/>
      </w:r>
    </w:p>
  </w:footnote>
  <w:footnote w:type="continuationSeparator" w:id="0">
    <w:p w14:paraId="1366FFD6" w14:textId="77777777" w:rsidR="00816905" w:rsidRDefault="00816905" w:rsidP="000B2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E3E24" w14:textId="0AC8DCD4" w:rsidR="00816905" w:rsidRDefault="008B3B8D" w:rsidP="008F7E13">
    <w:pPr>
      <w:pStyle w:val="Header"/>
      <w:tabs>
        <w:tab w:val="clear" w:pos="4513"/>
        <w:tab w:val="clear" w:pos="9026"/>
        <w:tab w:val="left" w:pos="942"/>
      </w:tabs>
    </w:pPr>
    <w:r>
      <w:rPr>
        <w:noProof/>
        <w:lang w:eastAsia="en-GB"/>
      </w:rPr>
      <w:drawing>
        <wp:anchor distT="0" distB="0" distL="114300" distR="114300" simplePos="0" relativeHeight="251667456" behindDoc="1" locked="0" layoutInCell="1" allowOverlap="1" wp14:anchorId="2B2C7723" wp14:editId="7988AF55">
          <wp:simplePos x="0" y="0"/>
          <wp:positionH relativeFrom="column">
            <wp:posOffset>-447040</wp:posOffset>
          </wp:positionH>
          <wp:positionV relativeFrom="paragraph">
            <wp:posOffset>-449580</wp:posOffset>
          </wp:positionV>
          <wp:extent cx="7559675" cy="1403985"/>
          <wp:effectExtent l="0" t="0" r="3175" b="5715"/>
          <wp:wrapNone/>
          <wp:docPr id="3" name="Picture 3" descr="Macintosh HD:Users:TargetTracker:Desktop:Jpegs:Generic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argetTracker:Desktop:Jpegs:Generic portra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039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F7E1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368"/>
    <w:multiLevelType w:val="hybridMultilevel"/>
    <w:tmpl w:val="C040E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43181"/>
    <w:multiLevelType w:val="hybridMultilevel"/>
    <w:tmpl w:val="C94CE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643BB"/>
    <w:multiLevelType w:val="hybridMultilevel"/>
    <w:tmpl w:val="5276F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F45B7"/>
    <w:multiLevelType w:val="hybridMultilevel"/>
    <w:tmpl w:val="425A0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660095"/>
    <w:multiLevelType w:val="hybridMultilevel"/>
    <w:tmpl w:val="E066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463696"/>
    <w:multiLevelType w:val="hybridMultilevel"/>
    <w:tmpl w:val="BF34E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AE42B9"/>
    <w:multiLevelType w:val="hybridMultilevel"/>
    <w:tmpl w:val="109C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2D5470"/>
    <w:multiLevelType w:val="hybridMultilevel"/>
    <w:tmpl w:val="3202C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0A53FF"/>
    <w:multiLevelType w:val="hybridMultilevel"/>
    <w:tmpl w:val="2D9E8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BC1B02"/>
    <w:multiLevelType w:val="hybridMultilevel"/>
    <w:tmpl w:val="CC44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D40C93"/>
    <w:multiLevelType w:val="hybridMultilevel"/>
    <w:tmpl w:val="3AF67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C217E7"/>
    <w:multiLevelType w:val="hybridMultilevel"/>
    <w:tmpl w:val="7266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F90DD4"/>
    <w:multiLevelType w:val="hybridMultilevel"/>
    <w:tmpl w:val="82465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0220ED"/>
    <w:multiLevelType w:val="hybridMultilevel"/>
    <w:tmpl w:val="AFC6C9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6EB56B5"/>
    <w:multiLevelType w:val="hybridMultilevel"/>
    <w:tmpl w:val="E6B42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F66986"/>
    <w:multiLevelType w:val="hybridMultilevel"/>
    <w:tmpl w:val="0A3AD4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3E6C40"/>
    <w:multiLevelType w:val="hybridMultilevel"/>
    <w:tmpl w:val="4C40B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847BA3"/>
    <w:multiLevelType w:val="hybridMultilevel"/>
    <w:tmpl w:val="77E4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A45621"/>
    <w:multiLevelType w:val="hybridMultilevel"/>
    <w:tmpl w:val="CA0A60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519918BC"/>
    <w:multiLevelType w:val="hybridMultilevel"/>
    <w:tmpl w:val="47B8C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346586"/>
    <w:multiLevelType w:val="hybridMultilevel"/>
    <w:tmpl w:val="03E84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DC3928"/>
    <w:multiLevelType w:val="hybridMultilevel"/>
    <w:tmpl w:val="C454527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6435536"/>
    <w:multiLevelType w:val="hybridMultilevel"/>
    <w:tmpl w:val="72C2F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0F3883"/>
    <w:multiLevelType w:val="hybridMultilevel"/>
    <w:tmpl w:val="750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DC246A"/>
    <w:multiLevelType w:val="hybridMultilevel"/>
    <w:tmpl w:val="5EAC82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D17F25"/>
    <w:multiLevelType w:val="hybridMultilevel"/>
    <w:tmpl w:val="32BE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DF31D3"/>
    <w:multiLevelType w:val="hybridMultilevel"/>
    <w:tmpl w:val="D1FEB3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B35687"/>
    <w:multiLevelType w:val="hybridMultilevel"/>
    <w:tmpl w:val="37066F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6"/>
  </w:num>
  <w:num w:numId="5">
    <w:abstractNumId w:val="25"/>
  </w:num>
  <w:num w:numId="6">
    <w:abstractNumId w:val="16"/>
  </w:num>
  <w:num w:numId="7">
    <w:abstractNumId w:val="22"/>
  </w:num>
  <w:num w:numId="8">
    <w:abstractNumId w:val="18"/>
  </w:num>
  <w:num w:numId="9">
    <w:abstractNumId w:val="3"/>
  </w:num>
  <w:num w:numId="10">
    <w:abstractNumId w:val="0"/>
  </w:num>
  <w:num w:numId="11">
    <w:abstractNumId w:val="27"/>
  </w:num>
  <w:num w:numId="12">
    <w:abstractNumId w:val="19"/>
  </w:num>
  <w:num w:numId="13">
    <w:abstractNumId w:val="26"/>
  </w:num>
  <w:num w:numId="14">
    <w:abstractNumId w:val="21"/>
  </w:num>
  <w:num w:numId="15">
    <w:abstractNumId w:val="1"/>
  </w:num>
  <w:num w:numId="16">
    <w:abstractNumId w:val="28"/>
  </w:num>
  <w:num w:numId="17">
    <w:abstractNumId w:val="8"/>
  </w:num>
  <w:num w:numId="18">
    <w:abstractNumId w:val="11"/>
  </w:num>
  <w:num w:numId="19">
    <w:abstractNumId w:val="17"/>
  </w:num>
  <w:num w:numId="20">
    <w:abstractNumId w:val="20"/>
  </w:num>
  <w:num w:numId="21">
    <w:abstractNumId w:val="23"/>
  </w:num>
  <w:num w:numId="22">
    <w:abstractNumId w:val="15"/>
  </w:num>
  <w:num w:numId="23">
    <w:abstractNumId w:val="2"/>
  </w:num>
  <w:num w:numId="24">
    <w:abstractNumId w:val="24"/>
  </w:num>
  <w:num w:numId="25">
    <w:abstractNumId w:val="4"/>
  </w:num>
  <w:num w:numId="26">
    <w:abstractNumId w:val="7"/>
  </w:num>
  <w:num w:numId="27">
    <w:abstractNumId w:val="10"/>
  </w:num>
  <w:num w:numId="28">
    <w:abstractNumId w:val="13"/>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9F1"/>
    <w:rsid w:val="000320C7"/>
    <w:rsid w:val="00043B92"/>
    <w:rsid w:val="000646C3"/>
    <w:rsid w:val="000B29F1"/>
    <w:rsid w:val="00135249"/>
    <w:rsid w:val="001D52A0"/>
    <w:rsid w:val="001E1544"/>
    <w:rsid w:val="00203327"/>
    <w:rsid w:val="00207B91"/>
    <w:rsid w:val="00260016"/>
    <w:rsid w:val="0029133F"/>
    <w:rsid w:val="002A2AEA"/>
    <w:rsid w:val="002A7B38"/>
    <w:rsid w:val="003D1D52"/>
    <w:rsid w:val="004164DC"/>
    <w:rsid w:val="00465562"/>
    <w:rsid w:val="004805A3"/>
    <w:rsid w:val="004B4668"/>
    <w:rsid w:val="004B5F35"/>
    <w:rsid w:val="004C6272"/>
    <w:rsid w:val="004D648B"/>
    <w:rsid w:val="00575672"/>
    <w:rsid w:val="005A0665"/>
    <w:rsid w:val="005C3C0E"/>
    <w:rsid w:val="005C443F"/>
    <w:rsid w:val="00646A52"/>
    <w:rsid w:val="00674978"/>
    <w:rsid w:val="006848CF"/>
    <w:rsid w:val="006A1923"/>
    <w:rsid w:val="006A54E9"/>
    <w:rsid w:val="006F358D"/>
    <w:rsid w:val="00721503"/>
    <w:rsid w:val="0075339F"/>
    <w:rsid w:val="007657E8"/>
    <w:rsid w:val="00792045"/>
    <w:rsid w:val="007A3559"/>
    <w:rsid w:val="007B3825"/>
    <w:rsid w:val="007C2251"/>
    <w:rsid w:val="007C6567"/>
    <w:rsid w:val="007E35A0"/>
    <w:rsid w:val="008007A2"/>
    <w:rsid w:val="00816905"/>
    <w:rsid w:val="008B16D5"/>
    <w:rsid w:val="008B3B8D"/>
    <w:rsid w:val="008F25B2"/>
    <w:rsid w:val="008F7E13"/>
    <w:rsid w:val="009516BB"/>
    <w:rsid w:val="00957190"/>
    <w:rsid w:val="009B256E"/>
    <w:rsid w:val="00A13B77"/>
    <w:rsid w:val="00A265BD"/>
    <w:rsid w:val="00A426C2"/>
    <w:rsid w:val="00A85AC4"/>
    <w:rsid w:val="00AB1DFE"/>
    <w:rsid w:val="00AD279B"/>
    <w:rsid w:val="00B03D37"/>
    <w:rsid w:val="00B14D63"/>
    <w:rsid w:val="00B67D12"/>
    <w:rsid w:val="00B848F3"/>
    <w:rsid w:val="00BB6832"/>
    <w:rsid w:val="00BF0CD6"/>
    <w:rsid w:val="00BF678F"/>
    <w:rsid w:val="00C05AFE"/>
    <w:rsid w:val="00C116EB"/>
    <w:rsid w:val="00C711EC"/>
    <w:rsid w:val="00C8332F"/>
    <w:rsid w:val="00CB2C44"/>
    <w:rsid w:val="00D45E2C"/>
    <w:rsid w:val="00D56BB1"/>
    <w:rsid w:val="00D95312"/>
    <w:rsid w:val="00E22EBF"/>
    <w:rsid w:val="00E25DCC"/>
    <w:rsid w:val="00E66E86"/>
    <w:rsid w:val="00E9084D"/>
    <w:rsid w:val="00E95C63"/>
    <w:rsid w:val="00ED4FE5"/>
    <w:rsid w:val="00F04778"/>
    <w:rsid w:val="00F14395"/>
    <w:rsid w:val="00F1526F"/>
    <w:rsid w:val="00F5033A"/>
    <w:rsid w:val="00F85C07"/>
    <w:rsid w:val="00FF08B8"/>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208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Default">
    <w:name w:val="Default"/>
    <w:rsid w:val="00D95312"/>
    <w:pPr>
      <w:autoSpaceDE w:val="0"/>
      <w:autoSpaceDN w:val="0"/>
      <w:adjustRightInd w:val="0"/>
      <w:spacing w:after="0" w:line="240" w:lineRule="auto"/>
    </w:pPr>
    <w:rPr>
      <w:color w:val="000000"/>
    </w:rPr>
  </w:style>
  <w:style w:type="table" w:styleId="TableGrid">
    <w:name w:val="Table Grid"/>
    <w:basedOn w:val="TableNormal"/>
    <w:uiPriority w:val="59"/>
    <w:rsid w:val="00D9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5312"/>
    <w:pPr>
      <w:spacing w:after="0" w:line="240" w:lineRule="auto"/>
    </w:pPr>
  </w:style>
  <w:style w:type="paragraph" w:styleId="BodyText2">
    <w:name w:val="Body Text 2"/>
    <w:basedOn w:val="Normal"/>
    <w:link w:val="BodyText2Char"/>
    <w:uiPriority w:val="99"/>
    <w:unhideWhenUsed/>
    <w:rsid w:val="009516BB"/>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9516BB"/>
    <w:rPr>
      <w:rFonts w:ascii="Calibri" w:eastAsia="Calibri" w:hAnsi="Calibri" w:cs="Times New Roman"/>
      <w:sz w:val="22"/>
      <w:szCs w:val="22"/>
    </w:rPr>
  </w:style>
  <w:style w:type="character" w:styleId="Strong">
    <w:name w:val="Strong"/>
    <w:basedOn w:val="DefaultParagraphFont"/>
    <w:qFormat/>
    <w:rsid w:val="00951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 w:type="paragraph" w:customStyle="1" w:styleId="Default">
    <w:name w:val="Default"/>
    <w:rsid w:val="00D95312"/>
    <w:pPr>
      <w:autoSpaceDE w:val="0"/>
      <w:autoSpaceDN w:val="0"/>
      <w:adjustRightInd w:val="0"/>
      <w:spacing w:after="0" w:line="240" w:lineRule="auto"/>
    </w:pPr>
    <w:rPr>
      <w:color w:val="000000"/>
    </w:rPr>
  </w:style>
  <w:style w:type="table" w:styleId="TableGrid">
    <w:name w:val="Table Grid"/>
    <w:basedOn w:val="TableNormal"/>
    <w:uiPriority w:val="59"/>
    <w:rsid w:val="00D953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5312"/>
    <w:pPr>
      <w:spacing w:after="0" w:line="240" w:lineRule="auto"/>
    </w:pPr>
  </w:style>
  <w:style w:type="paragraph" w:styleId="BodyText2">
    <w:name w:val="Body Text 2"/>
    <w:basedOn w:val="Normal"/>
    <w:link w:val="BodyText2Char"/>
    <w:uiPriority w:val="99"/>
    <w:unhideWhenUsed/>
    <w:rsid w:val="009516BB"/>
    <w:pPr>
      <w:spacing w:after="120" w:line="480" w:lineRule="auto"/>
    </w:pPr>
    <w:rPr>
      <w:rFonts w:ascii="Calibri" w:eastAsia="Calibri" w:hAnsi="Calibri" w:cs="Times New Roman"/>
      <w:sz w:val="22"/>
      <w:szCs w:val="22"/>
    </w:rPr>
  </w:style>
  <w:style w:type="character" w:customStyle="1" w:styleId="BodyText2Char">
    <w:name w:val="Body Text 2 Char"/>
    <w:basedOn w:val="DefaultParagraphFont"/>
    <w:link w:val="BodyText2"/>
    <w:uiPriority w:val="99"/>
    <w:rsid w:val="009516BB"/>
    <w:rPr>
      <w:rFonts w:ascii="Calibri" w:eastAsia="Calibri" w:hAnsi="Calibri" w:cs="Times New Roman"/>
      <w:sz w:val="22"/>
      <w:szCs w:val="22"/>
    </w:rPr>
  </w:style>
  <w:style w:type="character" w:styleId="Strong">
    <w:name w:val="Strong"/>
    <w:basedOn w:val="DefaultParagraphFont"/>
    <w:qFormat/>
    <w:rsid w:val="009516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ane.monaghan2@eesforschool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24B94-49CC-483B-B195-AA650C27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7339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Jane.Monaghan2</cp:lastModifiedBy>
  <cp:revision>2</cp:revision>
  <cp:lastPrinted>2015-06-25T08:06:00Z</cp:lastPrinted>
  <dcterms:created xsi:type="dcterms:W3CDTF">2018-05-27T14:29:00Z</dcterms:created>
  <dcterms:modified xsi:type="dcterms:W3CDTF">2018-05-27T14:29:00Z</dcterms:modified>
</cp:coreProperties>
</file>