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1CEA4" w14:textId="14C61DDB" w:rsidR="00C2762B" w:rsidRDefault="0004021B" w:rsidP="005D6FA2">
      <w:pPr>
        <w:pStyle w:val="Heading"/>
      </w:pPr>
      <w:bookmarkStart w:id="0" w:name="_GoBack"/>
      <w:bookmarkEnd w:id="0"/>
      <w:r>
        <w:t>EXTERNAL REVIEW OF GOVERNANCE</w:t>
      </w:r>
    </w:p>
    <w:p w14:paraId="128DB8A6" w14:textId="33F4E389" w:rsidR="002B75E3" w:rsidRDefault="00425557" w:rsidP="002B75E3">
      <w:r>
        <w:t>High quality school or academy governance is a priority for all educational establishments and trusts</w:t>
      </w:r>
      <w:r w:rsidR="002D38BB">
        <w:t>. It ensures that the provision that is offered</w:t>
      </w:r>
      <w:r w:rsidR="00C33E56">
        <w:t xml:space="preserve"> is in line with</w:t>
      </w:r>
      <w:r w:rsidR="002D38BB">
        <w:t xml:space="preserve"> all statutory </w:t>
      </w:r>
      <w:r w:rsidR="00C33E56">
        <w:t>systems</w:t>
      </w:r>
      <w:r w:rsidR="002D38BB">
        <w:t xml:space="preserve"> and </w:t>
      </w:r>
      <w:r w:rsidR="00D72893">
        <w:t>meets all compliance requirements.</w:t>
      </w:r>
      <w:r w:rsidR="00C33E56">
        <w:t xml:space="preserve">  </w:t>
      </w:r>
      <w:r w:rsidR="005F252F">
        <w:t xml:space="preserve">Failing to do this can risk schools, academies and trusts not meeting their legal </w:t>
      </w:r>
      <w:r w:rsidR="00932806">
        <w:t>duties and expectations.</w:t>
      </w:r>
    </w:p>
    <w:p w14:paraId="293F4588" w14:textId="68627E9E" w:rsidR="00932806" w:rsidRDefault="00932806" w:rsidP="002B75E3">
      <w:r>
        <w:t xml:space="preserve">Highly effective governance also ensures that operational leaders and what educational establishments and trusts deliver is of the </w:t>
      </w:r>
      <w:r w:rsidR="006A1B28">
        <w:t xml:space="preserve">best quality so that the needs of all pupils and other stakeholders are met.  The quality of governance is also </w:t>
      </w:r>
      <w:r w:rsidR="00CC2327">
        <w:t xml:space="preserve">of great importance in terms of meeting what is required during external inspection </w:t>
      </w:r>
      <w:r w:rsidR="00936EDE">
        <w:t>and</w:t>
      </w:r>
      <w:r w:rsidR="001C4E43">
        <w:t xml:space="preserve"> in relation to meeting</w:t>
      </w:r>
      <w:r w:rsidR="004465E2">
        <w:t xml:space="preserve"> legal requirements in relation to finances and value for money.</w:t>
      </w:r>
    </w:p>
    <w:p w14:paraId="7FFF84B0" w14:textId="7CB7AE43" w:rsidR="00522969" w:rsidRDefault="00522969" w:rsidP="002B75E3">
      <w:r>
        <w:t>As well as ensuring that the children in the care of schools and academies get the best education possible to meet their needs</w:t>
      </w:r>
      <w:r w:rsidR="00FA11A9">
        <w:t xml:space="preserve">, it is also crucial that all children are safe and happy in school. To that end it is of paramount importance that all </w:t>
      </w:r>
      <w:r w:rsidR="00936EDE">
        <w:t>safeguarding,</w:t>
      </w:r>
      <w:r w:rsidR="00FA11A9">
        <w:t xml:space="preserve"> and child protection</w:t>
      </w:r>
      <w:r w:rsidR="00AB4A8F">
        <w:t xml:space="preserve"> systems are properly in place and adhered to.  It is for those with responsibility for governance to ensure that </w:t>
      </w:r>
      <w:r w:rsidR="00AC361E">
        <w:t>all these systems are in place and operating with a high degree of effectiveness.</w:t>
      </w:r>
    </w:p>
    <w:p w14:paraId="05B27BA9" w14:textId="182D1FE6" w:rsidR="00AC361E" w:rsidRDefault="00AC361E" w:rsidP="002B75E3">
      <w:r>
        <w:t xml:space="preserve">A full external review of governance will </w:t>
      </w:r>
      <w:r w:rsidR="00E05478">
        <w:t>check and confirm</w:t>
      </w:r>
      <w:r>
        <w:t xml:space="preserve"> that all the necessary and statutory elements of governance </w:t>
      </w:r>
      <w:r w:rsidR="00E05478">
        <w:t xml:space="preserve">are in place for any school, </w:t>
      </w:r>
      <w:r w:rsidR="00936EDE">
        <w:t>academy,</w:t>
      </w:r>
      <w:r w:rsidR="00E05478">
        <w:t xml:space="preserve"> or trust.  It will also highlight areas of strength and weakness within governance systems and protocols and suggest where improvements can or need to be made to meet the highest standards.</w:t>
      </w:r>
    </w:p>
    <w:p w14:paraId="4556EEAF" w14:textId="28C5D065" w:rsidR="00DC1002" w:rsidRDefault="00894DD2" w:rsidP="00894DD2">
      <w:pPr>
        <w:pStyle w:val="Sub-heading"/>
      </w:pPr>
      <w:r>
        <w:t>The Process</w:t>
      </w:r>
    </w:p>
    <w:p w14:paraId="5701CCB1" w14:textId="6C62210E" w:rsidR="00894DD2" w:rsidRDefault="00894DD2" w:rsidP="002B75E3">
      <w:r>
        <w:t>Our review team will take on the role of ‘critical friend’</w:t>
      </w:r>
      <w:r w:rsidR="00284F83">
        <w:t xml:space="preserve"> and advisor</w:t>
      </w:r>
      <w:r w:rsidR="00C539A1">
        <w:t xml:space="preserve">, </w:t>
      </w:r>
      <w:r w:rsidR="000C43D0">
        <w:t xml:space="preserve">highlighting both areas of strength around </w:t>
      </w:r>
      <w:r w:rsidR="00284F83">
        <w:t>governance</w:t>
      </w:r>
      <w:r w:rsidR="000C43D0">
        <w:t>, but also identifying what can be improved.</w:t>
      </w:r>
    </w:p>
    <w:p w14:paraId="6BE41201" w14:textId="528115A8" w:rsidR="000C43D0" w:rsidRDefault="00284F83" w:rsidP="002B75E3">
      <w:r>
        <w:t xml:space="preserve">For a full external review of </w:t>
      </w:r>
      <w:r w:rsidR="009716FE">
        <w:t>governance,</w:t>
      </w:r>
      <w:r>
        <w:t xml:space="preserve"> t</w:t>
      </w:r>
      <w:r w:rsidR="007D393F">
        <w:t>he team will</w:t>
      </w:r>
      <w:r w:rsidR="000C0B1D">
        <w:t>, depending on</w:t>
      </w:r>
      <w:r>
        <w:t xml:space="preserve"> </w:t>
      </w:r>
      <w:r w:rsidR="00E27BC3">
        <w:t xml:space="preserve">the size of a </w:t>
      </w:r>
      <w:r>
        <w:t xml:space="preserve">trust (number of schools) </w:t>
      </w:r>
      <w:r w:rsidR="00E27BC3">
        <w:t>or the size of an individual</w:t>
      </w:r>
      <w:r w:rsidR="000C0B1D">
        <w:t xml:space="preserve"> </w:t>
      </w:r>
      <w:r w:rsidR="000C0B1D">
        <w:lastRenderedPageBreak/>
        <w:t>school</w:t>
      </w:r>
      <w:r w:rsidR="00C36302">
        <w:t>,</w:t>
      </w:r>
      <w:r w:rsidR="007D393F">
        <w:t xml:space="preserve"> spend </w:t>
      </w:r>
      <w:r w:rsidR="00E00656">
        <w:t>one</w:t>
      </w:r>
      <w:r w:rsidR="007D393F">
        <w:t xml:space="preserve"> or more days </w:t>
      </w:r>
      <w:r w:rsidR="000C0B1D">
        <w:t>with you and then provide a summary report of their findings</w:t>
      </w:r>
      <w:r w:rsidR="009E6BAC">
        <w:t>, highlighting strengths and areas for improvement as well as recommendations for further improvement.</w:t>
      </w:r>
      <w:r w:rsidR="00710F7F">
        <w:t xml:space="preserve">  Ahead of the review the review team will need access to your governance documentation, </w:t>
      </w:r>
      <w:r w:rsidR="002C4938">
        <w:t>governance IT systems (where used) and will also review the trust/schools’ websites.</w:t>
      </w:r>
      <w:r w:rsidR="00FE4F80">
        <w:t xml:space="preserve"> During the time with the trust/school</w:t>
      </w:r>
      <w:r w:rsidR="00D71006">
        <w:t xml:space="preserve">, the reviewer(s) will develop an understanding of the trust and its school(s), </w:t>
      </w:r>
      <w:r w:rsidR="00EA1D24">
        <w:t xml:space="preserve">refer to/review specific </w:t>
      </w:r>
      <w:r w:rsidR="00936EDE">
        <w:t>documentation,</w:t>
      </w:r>
      <w:r w:rsidR="00EA1D24">
        <w:t xml:space="preserve"> and interview a range of key stakeholders so that a full view of governance can be captured.  </w:t>
      </w:r>
      <w:r w:rsidR="004A4B1E">
        <w:t xml:space="preserve">Using all the evidence gathered either directly or from documentation the final report and recommendations will be </w:t>
      </w:r>
      <w:r w:rsidR="00EE16A9">
        <w:t>constructed.</w:t>
      </w:r>
    </w:p>
    <w:p w14:paraId="77E412F7" w14:textId="132A0DCD" w:rsidR="00EE16A9" w:rsidRDefault="00EE16A9" w:rsidP="002B75E3">
      <w:r>
        <w:t xml:space="preserve">Six months after the full review, a follow-up call will enable the review team to </w:t>
      </w:r>
      <w:r w:rsidR="008A383D">
        <w:t>reflect on progress made with the recommendations that were made as the final part of the original report</w:t>
      </w:r>
      <w:r w:rsidR="00D560B6">
        <w:t>.</w:t>
      </w:r>
    </w:p>
    <w:p w14:paraId="4F601B5B" w14:textId="77777777" w:rsidR="0067373D" w:rsidRDefault="0067373D" w:rsidP="002B75E3"/>
    <w:p w14:paraId="6D18B705" w14:textId="0EBEA76F" w:rsidR="00D560B6" w:rsidRPr="0067373D" w:rsidRDefault="00D560B6" w:rsidP="00D560B6">
      <w:pPr>
        <w:rPr>
          <w:b/>
          <w:bCs/>
          <w:color w:val="0D0D0D" w:themeColor="text2" w:themeTint="F2"/>
          <w:sz w:val="32"/>
          <w:szCs w:val="32"/>
        </w:rPr>
      </w:pPr>
      <w:r w:rsidRPr="0067373D">
        <w:rPr>
          <w:b/>
          <w:bCs/>
          <w:color w:val="0D0D0D" w:themeColor="text2" w:themeTint="F2"/>
          <w:sz w:val="32"/>
          <w:szCs w:val="32"/>
        </w:rPr>
        <w:t xml:space="preserve">What is </w:t>
      </w:r>
      <w:r w:rsidR="006B4880">
        <w:rPr>
          <w:b/>
          <w:bCs/>
          <w:color w:val="0D0D0D" w:themeColor="text2" w:themeTint="F2"/>
          <w:sz w:val="32"/>
          <w:szCs w:val="32"/>
        </w:rPr>
        <w:t xml:space="preserve">involved in </w:t>
      </w:r>
      <w:r w:rsidRPr="0067373D">
        <w:rPr>
          <w:b/>
          <w:bCs/>
          <w:color w:val="0D0D0D" w:themeColor="text2" w:themeTint="F2"/>
          <w:sz w:val="32"/>
          <w:szCs w:val="32"/>
        </w:rPr>
        <w:t>an external review of governance?</w:t>
      </w:r>
    </w:p>
    <w:p w14:paraId="4515F228" w14:textId="5C7D3E7E" w:rsidR="00D560B6" w:rsidRPr="00293B12" w:rsidRDefault="00D560B6" w:rsidP="00D560B6">
      <w:pPr>
        <w:rPr>
          <w:color w:val="0D0D0D" w:themeColor="text2" w:themeTint="F2"/>
        </w:rPr>
      </w:pPr>
      <w:r>
        <w:t>A</w:t>
      </w:r>
      <w:r w:rsidR="006B4880">
        <w:t>s set out by the Department for Education, a</w:t>
      </w:r>
      <w:r>
        <w:t xml:space="preserve">n external review of governance (ERG) examines the effectiveness of </w:t>
      </w:r>
      <w:r w:rsidR="00293B12">
        <w:t>a governance</w:t>
      </w:r>
      <w:r>
        <w:t xml:space="preserve"> board based on the 6 features of effective governance, which are set out in the</w:t>
      </w:r>
      <w:r w:rsidR="00293B12">
        <w:t xml:space="preserve"> DfE’s</w:t>
      </w:r>
      <w:r>
        <w:t xml:space="preserve"> Governance </w:t>
      </w:r>
      <w:r w:rsidR="00293B12">
        <w:t>H</w:t>
      </w:r>
      <w:r>
        <w:t>andbook</w:t>
      </w:r>
      <w:r w:rsidR="00293B12">
        <w:t>.</w:t>
      </w:r>
      <w:r w:rsidR="00293B12">
        <w:rPr>
          <w:color w:val="0D0D0D" w:themeColor="text2" w:themeTint="F2"/>
        </w:rPr>
        <w:t xml:space="preserve"> </w:t>
      </w:r>
      <w:r>
        <w:t>These are:</w:t>
      </w:r>
    </w:p>
    <w:p w14:paraId="75F7B88D" w14:textId="77777777" w:rsidR="00D560B6" w:rsidRDefault="00D560B6" w:rsidP="00293B12">
      <w:pPr>
        <w:pStyle w:val="ListParagraph"/>
        <w:numPr>
          <w:ilvl w:val="0"/>
          <w:numId w:val="13"/>
        </w:numPr>
      </w:pPr>
      <w:r>
        <w:t>strategic leadership</w:t>
      </w:r>
    </w:p>
    <w:p w14:paraId="3B6FF920" w14:textId="77777777" w:rsidR="00D560B6" w:rsidRDefault="00D560B6" w:rsidP="00293B12">
      <w:pPr>
        <w:pStyle w:val="ListParagraph"/>
        <w:numPr>
          <w:ilvl w:val="0"/>
          <w:numId w:val="13"/>
        </w:numPr>
      </w:pPr>
      <w:r>
        <w:t>accountability</w:t>
      </w:r>
    </w:p>
    <w:p w14:paraId="51B51CDC" w14:textId="77777777" w:rsidR="00D560B6" w:rsidRDefault="00D560B6" w:rsidP="00293B12">
      <w:pPr>
        <w:pStyle w:val="ListParagraph"/>
        <w:numPr>
          <w:ilvl w:val="0"/>
          <w:numId w:val="13"/>
        </w:numPr>
      </w:pPr>
      <w:r>
        <w:t>people</w:t>
      </w:r>
    </w:p>
    <w:p w14:paraId="2C2114C4" w14:textId="77777777" w:rsidR="00D560B6" w:rsidRDefault="00D560B6" w:rsidP="00293B12">
      <w:pPr>
        <w:pStyle w:val="ListParagraph"/>
        <w:numPr>
          <w:ilvl w:val="0"/>
          <w:numId w:val="13"/>
        </w:numPr>
      </w:pPr>
      <w:r>
        <w:t>structures</w:t>
      </w:r>
    </w:p>
    <w:p w14:paraId="0C266BD0" w14:textId="77777777" w:rsidR="00D560B6" w:rsidRDefault="00D560B6" w:rsidP="00293B12">
      <w:pPr>
        <w:pStyle w:val="ListParagraph"/>
        <w:numPr>
          <w:ilvl w:val="0"/>
          <w:numId w:val="13"/>
        </w:numPr>
      </w:pPr>
      <w:r>
        <w:t>compliance</w:t>
      </w:r>
    </w:p>
    <w:p w14:paraId="3902BE6A" w14:textId="77777777" w:rsidR="00D560B6" w:rsidRDefault="00D560B6" w:rsidP="00293B12">
      <w:pPr>
        <w:pStyle w:val="ListParagraph"/>
        <w:numPr>
          <w:ilvl w:val="0"/>
          <w:numId w:val="13"/>
        </w:numPr>
      </w:pPr>
      <w:r>
        <w:t>evaluation</w:t>
      </w:r>
    </w:p>
    <w:p w14:paraId="394FB6A9" w14:textId="26FEF6D7" w:rsidR="00D560B6" w:rsidRDefault="00D560B6" w:rsidP="00D560B6">
      <w:r>
        <w:t>A</w:t>
      </w:r>
      <w:r w:rsidR="00293B12">
        <w:t>s explained the</w:t>
      </w:r>
      <w:r>
        <w:t xml:space="preserve"> ERG is conducted by an experienced governance expert</w:t>
      </w:r>
      <w:r w:rsidR="00293B12">
        <w:t>(s)</w:t>
      </w:r>
      <w:r>
        <w:t xml:space="preserve"> who is external to, and independent of, the board and the executive leaders.</w:t>
      </w:r>
    </w:p>
    <w:p w14:paraId="421F362E" w14:textId="77777777" w:rsidR="00D560B6" w:rsidRDefault="00D560B6" w:rsidP="00D560B6"/>
    <w:p w14:paraId="1D6BAFB6" w14:textId="4792DCED" w:rsidR="00D560B6" w:rsidRDefault="00D560B6" w:rsidP="00D560B6">
      <w:r>
        <w:t xml:space="preserve">The review will examine the governance structure, </w:t>
      </w:r>
      <w:r w:rsidR="00936EDE">
        <w:t>operations,</w:t>
      </w:r>
      <w:r>
        <w:t xml:space="preserve"> and performance across the board, working closely with the board, executive </w:t>
      </w:r>
      <w:r w:rsidR="00936EDE">
        <w:t>leaders,</w:t>
      </w:r>
      <w:r>
        <w:t xml:space="preserve"> and the governance professional (previously referred to as ‘clerks’), to improve the board’s performance. </w:t>
      </w:r>
      <w:r>
        <w:lastRenderedPageBreak/>
        <w:t>Governance operations could include a range of contributors, including the governance professional or equivalent, the school business manager, legal and HR support and others.</w:t>
      </w:r>
    </w:p>
    <w:p w14:paraId="121977FF" w14:textId="2EC302AE" w:rsidR="00D560B6" w:rsidRDefault="00D560B6" w:rsidP="00D560B6">
      <w:r>
        <w:t>A review should:</w:t>
      </w:r>
    </w:p>
    <w:p w14:paraId="761D3AD7" w14:textId="77777777" w:rsidR="00D560B6" w:rsidRDefault="00D560B6" w:rsidP="00293B12">
      <w:pPr>
        <w:pStyle w:val="ListParagraph"/>
        <w:numPr>
          <w:ilvl w:val="0"/>
          <w:numId w:val="14"/>
        </w:numPr>
      </w:pPr>
      <w:r>
        <w:t>consider the process and impact of decision making</w:t>
      </w:r>
    </w:p>
    <w:p w14:paraId="5A6735B4" w14:textId="77777777" w:rsidR="00D560B6" w:rsidRDefault="00D560B6" w:rsidP="00293B12">
      <w:pPr>
        <w:pStyle w:val="ListParagraph"/>
        <w:numPr>
          <w:ilvl w:val="0"/>
          <w:numId w:val="14"/>
        </w:numPr>
      </w:pPr>
      <w:r>
        <w:t>consider the impact of the governance support provided to the board</w:t>
      </w:r>
    </w:p>
    <w:p w14:paraId="44840DF0" w14:textId="77777777" w:rsidR="00D560B6" w:rsidRDefault="00D560B6" w:rsidP="00293B12">
      <w:pPr>
        <w:pStyle w:val="ListParagraph"/>
        <w:numPr>
          <w:ilvl w:val="0"/>
          <w:numId w:val="14"/>
        </w:numPr>
      </w:pPr>
      <w:r>
        <w:t>test compliance with mandatory requirements</w:t>
      </w:r>
    </w:p>
    <w:p w14:paraId="34623F62" w14:textId="09308135" w:rsidR="00D560B6" w:rsidRDefault="00D560B6" w:rsidP="00D560B6">
      <w:r>
        <w:t>Ultimately a review should enable the board to provide reassurance to stakeholders and others that it takes its responsibilities seriously and is endeavouring to carry them out effectively. In academy trusts, proving this assurance to members is essential for the members to carry out their role. A review provides a board with:</w:t>
      </w:r>
    </w:p>
    <w:p w14:paraId="382667B9" w14:textId="7DBE5622" w:rsidR="00D560B6" w:rsidRDefault="00673965" w:rsidP="00673965">
      <w:pPr>
        <w:pStyle w:val="ListParagraph"/>
        <w:numPr>
          <w:ilvl w:val="0"/>
          <w:numId w:val="15"/>
        </w:numPr>
      </w:pPr>
      <w:r>
        <w:t>a</w:t>
      </w:r>
      <w:r w:rsidR="00D560B6">
        <w:t>n independent, objective view of its strengths and areas for improvement</w:t>
      </w:r>
    </w:p>
    <w:p w14:paraId="3465E4DF" w14:textId="77777777" w:rsidR="00D560B6" w:rsidRDefault="00D560B6" w:rsidP="00673965">
      <w:pPr>
        <w:pStyle w:val="ListParagraph"/>
        <w:numPr>
          <w:ilvl w:val="0"/>
          <w:numId w:val="15"/>
        </w:numPr>
      </w:pPr>
      <w:r>
        <w:t>clear recommendations for future improvement</w:t>
      </w:r>
    </w:p>
    <w:p w14:paraId="04BA4CA1" w14:textId="440A0F7C" w:rsidR="00D560B6" w:rsidRDefault="00D560B6" w:rsidP="00673965">
      <w:pPr>
        <w:pStyle w:val="ListParagraph"/>
        <w:numPr>
          <w:ilvl w:val="0"/>
          <w:numId w:val="15"/>
        </w:numPr>
      </w:pPr>
      <w:r>
        <w:t>an opportunity for the board to review the strategic direction of the organisation and to evaluate the effectiveness of its processes and systems</w:t>
      </w:r>
    </w:p>
    <w:p w14:paraId="64711AF3" w14:textId="77777777" w:rsidR="00D560B6" w:rsidRDefault="00D560B6" w:rsidP="002B75E3"/>
    <w:p w14:paraId="2515A2BA" w14:textId="2EAC22D7" w:rsidR="002F6148" w:rsidRDefault="002F6148" w:rsidP="002F6148">
      <w:pPr>
        <w:pStyle w:val="Sub-heading"/>
      </w:pPr>
      <w:r>
        <w:t>Flexibility</w:t>
      </w:r>
    </w:p>
    <w:p w14:paraId="4F2E92FE" w14:textId="395912D8" w:rsidR="00E00191" w:rsidRDefault="00E00191" w:rsidP="000C6B41">
      <w:r>
        <w:t xml:space="preserve">The scope of the review </w:t>
      </w:r>
      <w:r w:rsidR="00673965">
        <w:t xml:space="preserve">must fit in with the Department for Education’s basic </w:t>
      </w:r>
      <w:r w:rsidR="00440936">
        <w:t xml:space="preserve">framework as set out in the Governance Handbook, but </w:t>
      </w:r>
      <w:r w:rsidR="00F408AB">
        <w:t xml:space="preserve">also needs to be </w:t>
      </w:r>
      <w:r w:rsidR="00936EDE">
        <w:t>bespoke</w:t>
      </w:r>
      <w:r w:rsidR="00F408AB">
        <w:t xml:space="preserve"> to the context and needs of the trust/school(s). So, the specific details of the review need to</w:t>
      </w:r>
      <w:r>
        <w:t xml:space="preserve"> be agreed in advance</w:t>
      </w:r>
      <w:r w:rsidR="00DA488A">
        <w:t xml:space="preserve"> and will</w:t>
      </w:r>
      <w:r w:rsidR="005D6277">
        <w:t xml:space="preserve"> </w:t>
      </w:r>
      <w:r w:rsidR="00936EDE">
        <w:t>consider</w:t>
      </w:r>
      <w:r w:rsidR="00F408AB">
        <w:t xml:space="preserve"> the trust/</w:t>
      </w:r>
      <w:r w:rsidR="005D6277">
        <w:t xml:space="preserve">school size, </w:t>
      </w:r>
      <w:r w:rsidR="005F28B8">
        <w:t>number of days allocated etc.</w:t>
      </w:r>
    </w:p>
    <w:p w14:paraId="2DBC251F" w14:textId="49602ED3" w:rsidR="00C05CAE" w:rsidRDefault="000C6B41" w:rsidP="00264336">
      <w:pPr>
        <w:rPr>
          <w:rFonts w:ascii="Franklin Gothic Medium" w:eastAsiaTheme="majorEastAsia" w:hAnsi="Franklin Gothic Medium" w:cs="Times New Roman (Headings CS)"/>
          <w:color w:val="1C1238"/>
          <w:sz w:val="32"/>
          <w:szCs w:val="32"/>
        </w:rPr>
      </w:pPr>
      <w:r>
        <w:t>We are happy to discuss any particular requirements, concerns or focus the school has and tailor the review as required.</w:t>
      </w:r>
      <w:r w:rsidR="00F408AB">
        <w:t xml:space="preserve"> This scope outlines the detail of a full external review of governance, which requires </w:t>
      </w:r>
      <w:r w:rsidR="00D55A73">
        <w:t>four days of work.  However, Juniper also offers shorter reviews, focusing on the most essential aspects of governance</w:t>
      </w:r>
      <w:r w:rsidR="00DD5FC3">
        <w:t>, or reviews that cover areas/themes agreed and confirmed with the client.</w:t>
      </w:r>
    </w:p>
    <w:p w14:paraId="7F1A712D" w14:textId="2E5C808B" w:rsidR="002F6148" w:rsidRDefault="00DE547B" w:rsidP="00DE547B">
      <w:pPr>
        <w:pStyle w:val="Sub-heading"/>
      </w:pPr>
      <w:r>
        <w:lastRenderedPageBreak/>
        <w:t>Before the Review</w:t>
      </w:r>
    </w:p>
    <w:p w14:paraId="1040A259" w14:textId="1A3984A1" w:rsidR="008970D0" w:rsidRDefault="00C05CAE" w:rsidP="003822B0">
      <w:r>
        <w:t xml:space="preserve">Prior to the review </w:t>
      </w:r>
      <w:r w:rsidR="008970D0">
        <w:t>we wil</w:t>
      </w:r>
      <w:r w:rsidR="003822B0">
        <w:t>l d</w:t>
      </w:r>
      <w:r w:rsidR="008970D0">
        <w:t xml:space="preserve">iscuss with the </w:t>
      </w:r>
      <w:r w:rsidR="00DD5FC3">
        <w:t>trust/</w:t>
      </w:r>
      <w:r w:rsidR="008970D0">
        <w:t xml:space="preserve">school </w:t>
      </w:r>
      <w:r w:rsidR="003822B0">
        <w:t xml:space="preserve">any particular focus that may be required and </w:t>
      </w:r>
      <w:r w:rsidR="00060706">
        <w:t>confirm that all the arrangements are in place</w:t>
      </w:r>
      <w:r w:rsidR="00301475">
        <w:t xml:space="preserve"> including times for any interviews with staff.</w:t>
      </w:r>
      <w:r w:rsidR="00DD5FC3">
        <w:t xml:space="preserve"> This will be included in a bespoke scoping document, which will then be followed up with a detailed programme and schedule for the visit of the reviewer(s) to the trust/school</w:t>
      </w:r>
      <w:r w:rsidR="00D57B1B">
        <w:t>.</w:t>
      </w:r>
    </w:p>
    <w:p w14:paraId="7368EE48" w14:textId="3D8FA9F8" w:rsidR="009D2147" w:rsidRDefault="00060706" w:rsidP="009D2147">
      <w:r>
        <w:t>We will ask you to</w:t>
      </w:r>
      <w:r w:rsidR="009D2147">
        <w:t xml:space="preserve"> send </w:t>
      </w:r>
      <w:r w:rsidR="00D57B1B">
        <w:t>to your reviewer(s),</w:t>
      </w:r>
      <w:r w:rsidR="009D2147">
        <w:t xml:space="preserve"> all appropriate</w:t>
      </w:r>
      <w:r w:rsidR="00D57B1B">
        <w:t xml:space="preserve"> and requested</w:t>
      </w:r>
      <w:r w:rsidR="009D2147">
        <w:t xml:space="preserve"> </w:t>
      </w:r>
      <w:r w:rsidR="00D57B1B">
        <w:t>documentation and paperwork</w:t>
      </w:r>
      <w:r w:rsidR="009D2147">
        <w:t xml:space="preserve"> at least 2 weeks in advance.</w:t>
      </w:r>
      <w:r w:rsidR="00D57B1B">
        <w:t xml:space="preserve"> On the review day, if there are any additional items that need to be seen, then the reviewer(s) will request these in advance so that they may be available for viewing on the day.</w:t>
      </w:r>
    </w:p>
    <w:p w14:paraId="6EAE088A" w14:textId="6C55FFB2" w:rsidR="009D2147" w:rsidRDefault="00D57B1B" w:rsidP="002F6148">
      <w:pPr>
        <w:pStyle w:val="Sub-heading"/>
      </w:pPr>
      <w:r>
        <w:t xml:space="preserve">On the Day of </w:t>
      </w:r>
      <w:proofErr w:type="gramStart"/>
      <w:r>
        <w:t>T</w:t>
      </w:r>
      <w:r w:rsidR="009D2147">
        <w:t>he</w:t>
      </w:r>
      <w:proofErr w:type="gramEnd"/>
      <w:r w:rsidR="009D2147">
        <w:t xml:space="preserve"> Review</w:t>
      </w:r>
      <w:r>
        <w:t xml:space="preserve"> Visit</w:t>
      </w:r>
    </w:p>
    <w:p w14:paraId="1BF16291" w14:textId="0F1BD324" w:rsidR="009D2147" w:rsidRDefault="009D2147" w:rsidP="009D2147">
      <w:r>
        <w:t xml:space="preserve">We will aim to be at the school at about </w:t>
      </w:r>
      <w:r w:rsidR="00713680">
        <w:t>9:30am</w:t>
      </w:r>
      <w:r>
        <w:t xml:space="preserve"> and will </w:t>
      </w:r>
      <w:r w:rsidR="001F5238">
        <w:t>leave before the end of school unless otherwise agreed.</w:t>
      </w:r>
      <w:r w:rsidR="00713680">
        <w:t xml:space="preserve"> However, precise timings around this will be agreed and confirmed in advance.</w:t>
      </w:r>
    </w:p>
    <w:p w14:paraId="33AEEC52" w14:textId="66F3FA6C" w:rsidR="001F5238" w:rsidRDefault="001F5238" w:rsidP="009D2147">
      <w:r>
        <w:t>We will</w:t>
      </w:r>
      <w:r w:rsidR="00713680">
        <w:t xml:space="preserve"> ask</w:t>
      </w:r>
      <w:r>
        <w:t xml:space="preserve"> you to:</w:t>
      </w:r>
    </w:p>
    <w:p w14:paraId="06C479EB" w14:textId="2E865DC7" w:rsidR="001F5238" w:rsidRDefault="001F5238" w:rsidP="001F5238">
      <w:pPr>
        <w:pStyle w:val="ListParagraph"/>
        <w:numPr>
          <w:ilvl w:val="0"/>
          <w:numId w:val="8"/>
        </w:numPr>
      </w:pPr>
      <w:r>
        <w:t xml:space="preserve">Provide us with a base for us to work from, this will need to be suitable for any interviews we undertake as well as </w:t>
      </w:r>
      <w:r w:rsidR="00713680">
        <w:t xml:space="preserve">for </w:t>
      </w:r>
      <w:r>
        <w:t>document scrutiny.</w:t>
      </w:r>
      <w:r w:rsidR="00713680">
        <w:t xml:space="preserve"> </w:t>
      </w:r>
    </w:p>
    <w:p w14:paraId="3A85DB94" w14:textId="002D597B" w:rsidR="001F5238" w:rsidRDefault="001F5238" w:rsidP="001F5238">
      <w:pPr>
        <w:pStyle w:val="ListParagraph"/>
        <w:numPr>
          <w:ilvl w:val="0"/>
          <w:numId w:val="8"/>
        </w:numPr>
      </w:pPr>
      <w:r>
        <w:t>Provide tea/coffee</w:t>
      </w:r>
      <w:r w:rsidR="00713680">
        <w:t xml:space="preserve">/lunch </w:t>
      </w:r>
      <w:r>
        <w:t>facilities.</w:t>
      </w:r>
    </w:p>
    <w:p w14:paraId="3C4580E0" w14:textId="77777777" w:rsidR="001F5238" w:rsidRDefault="001F5238" w:rsidP="001F5238">
      <w:pPr>
        <w:pStyle w:val="ListParagraph"/>
        <w:numPr>
          <w:ilvl w:val="0"/>
          <w:numId w:val="8"/>
        </w:numPr>
      </w:pPr>
      <w:r>
        <w:t>Provide parking spaces as required.</w:t>
      </w:r>
    </w:p>
    <w:p w14:paraId="454A18A5" w14:textId="18F47C33" w:rsidR="00311A69" w:rsidRDefault="00311A69" w:rsidP="001F5238">
      <w:pPr>
        <w:pStyle w:val="ListParagraph"/>
        <w:numPr>
          <w:ilvl w:val="0"/>
          <w:numId w:val="8"/>
        </w:numPr>
      </w:pPr>
      <w:r>
        <w:t xml:space="preserve">Identify </w:t>
      </w:r>
      <w:r w:rsidR="00B17BCE">
        <w:t xml:space="preserve">a </w:t>
      </w:r>
      <w:r>
        <w:t xml:space="preserve">key contact who can provide any further documents etc which are </w:t>
      </w:r>
      <w:r w:rsidR="00B17BCE">
        <w:t>needed and facilitate interviews with additional staff if necessary.</w:t>
      </w:r>
    </w:p>
    <w:p w14:paraId="516DEF7C" w14:textId="77777777" w:rsidR="001F5238" w:rsidRDefault="001F5238" w:rsidP="001F5238">
      <w:pPr>
        <w:pStyle w:val="ListParagraph"/>
        <w:numPr>
          <w:ilvl w:val="0"/>
          <w:numId w:val="8"/>
        </w:numPr>
      </w:pPr>
      <w:r>
        <w:t>Ensure any staff we will be interviewing are available at the agreed time.</w:t>
      </w:r>
    </w:p>
    <w:p w14:paraId="7F2A97F8" w14:textId="49662534" w:rsidR="002F6148" w:rsidRDefault="002F6148" w:rsidP="002F6148">
      <w:pPr>
        <w:pStyle w:val="Sub-heading"/>
      </w:pPr>
      <w:r>
        <w:t>After the Review</w:t>
      </w:r>
    </w:p>
    <w:p w14:paraId="78E15EDD" w14:textId="7F735DCB" w:rsidR="001C66FE" w:rsidRDefault="001C66FE" w:rsidP="001C66FE">
      <w:r>
        <w:t>I</w:t>
      </w:r>
      <w:r w:rsidR="00713680">
        <w:t>t should be possible for us to</w:t>
      </w:r>
      <w:r>
        <w:t xml:space="preserve"> provide some immediate feedback at the end of </w:t>
      </w:r>
      <w:r w:rsidR="004512D1">
        <w:t xml:space="preserve">the </w:t>
      </w:r>
      <w:r w:rsidR="00713680">
        <w:t>visit</w:t>
      </w:r>
      <w:r w:rsidR="004512D1">
        <w:t xml:space="preserve"> day. We will then produce a </w:t>
      </w:r>
      <w:r w:rsidR="00AE4C68">
        <w:t>summary report with our findings and any recommendations.</w:t>
      </w:r>
      <w:r w:rsidR="00713680">
        <w:t xml:space="preserve">  This will come initially as a draft report. At that stage, it will be for the client to </w:t>
      </w:r>
      <w:r w:rsidR="008C2459">
        <w:t xml:space="preserve">provide comments, </w:t>
      </w:r>
      <w:r w:rsidR="00936EDE">
        <w:t>feedback,</w:t>
      </w:r>
      <w:r w:rsidR="008C2459">
        <w:t xml:space="preserve"> or suggestions in terms of:</w:t>
      </w:r>
    </w:p>
    <w:p w14:paraId="7D3A4789" w14:textId="20C31281" w:rsidR="008C2459" w:rsidRDefault="008C2459" w:rsidP="008C2459">
      <w:pPr>
        <w:pStyle w:val="ListParagraph"/>
        <w:numPr>
          <w:ilvl w:val="0"/>
          <w:numId w:val="16"/>
        </w:numPr>
      </w:pPr>
      <w:r>
        <w:t>Factual accuracy of the content of the report</w:t>
      </w:r>
    </w:p>
    <w:p w14:paraId="76A99662" w14:textId="03546698" w:rsidR="008C2459" w:rsidRDefault="008C2459" w:rsidP="008C2459">
      <w:pPr>
        <w:pStyle w:val="ListParagraph"/>
        <w:numPr>
          <w:ilvl w:val="0"/>
          <w:numId w:val="16"/>
        </w:numPr>
      </w:pPr>
      <w:r>
        <w:lastRenderedPageBreak/>
        <w:t>Suggestions for changes</w:t>
      </w:r>
      <w:r w:rsidR="00370754">
        <w:t xml:space="preserve">, </w:t>
      </w:r>
      <w:r w:rsidR="00936EDE">
        <w:t>amendments,</w:t>
      </w:r>
      <w:r w:rsidR="00370754">
        <w:t xml:space="preserve"> or additions to the findings</w:t>
      </w:r>
    </w:p>
    <w:p w14:paraId="153A425A" w14:textId="6A1766D4" w:rsidR="00370754" w:rsidRDefault="00370754" w:rsidP="008C2459">
      <w:pPr>
        <w:pStyle w:val="ListParagraph"/>
        <w:numPr>
          <w:ilvl w:val="0"/>
          <w:numId w:val="16"/>
        </w:numPr>
      </w:pPr>
      <w:r>
        <w:t>Suggestions in relation to the final recommendations</w:t>
      </w:r>
    </w:p>
    <w:p w14:paraId="38917F6E" w14:textId="401B3FCB" w:rsidR="00370754" w:rsidRDefault="00370754" w:rsidP="00370754">
      <w:r>
        <w:t xml:space="preserve">Trusts and schools should understand that the ERG process is </w:t>
      </w:r>
      <w:r w:rsidR="00447650">
        <w:t xml:space="preserve">two-way and collaborative and although judgmental by the review team, does allow the client to have objective input into the </w:t>
      </w:r>
      <w:r w:rsidR="009F5D09">
        <w:t>detail of the final report.  However, this collaboration cannot change objective judgements where the evidence for those judgements cannot be reasonably challenged.</w:t>
      </w:r>
    </w:p>
    <w:p w14:paraId="706B2549" w14:textId="598259DA" w:rsidR="00936EDE" w:rsidRDefault="00936EDE" w:rsidP="00370754"/>
    <w:p w14:paraId="2A842D5A" w14:textId="184D8692" w:rsidR="00936EDE" w:rsidRDefault="00936EDE" w:rsidP="00936EDE">
      <w:pPr>
        <w:pStyle w:val="Sub-heading"/>
      </w:pPr>
      <w:r>
        <w:t>Review Days</w:t>
      </w:r>
    </w:p>
    <w:p w14:paraId="6486BB4C" w14:textId="422BED01" w:rsidR="00936EDE" w:rsidRDefault="00936EDE" w:rsidP="00936EDE">
      <w:r>
        <w:t xml:space="preserve">The above review will be carried out </w:t>
      </w:r>
      <w:r w:rsidR="003B4BFA">
        <w:t xml:space="preserve">on a basis of 3 or 5 days depending </w:t>
      </w:r>
      <w:r w:rsidR="00B02472">
        <w:t>on the level of review required.</w:t>
      </w:r>
    </w:p>
    <w:p w14:paraId="713049A9" w14:textId="77777777" w:rsidR="00936EDE" w:rsidRDefault="00936EDE" w:rsidP="00936EDE">
      <w:pPr>
        <w:pStyle w:val="Sub-heading"/>
      </w:pPr>
    </w:p>
    <w:p w14:paraId="57026AE8" w14:textId="5C04571C" w:rsidR="00936EDE" w:rsidRDefault="00936EDE" w:rsidP="00936EDE"/>
    <w:p w14:paraId="301CAC15" w14:textId="77777777" w:rsidR="00936EDE" w:rsidRDefault="00936EDE" w:rsidP="00936EDE">
      <w:pPr>
        <w:pStyle w:val="Sub-heading"/>
      </w:pPr>
    </w:p>
    <w:p w14:paraId="532CD9C8" w14:textId="77777777" w:rsidR="00936EDE" w:rsidRDefault="00936EDE" w:rsidP="00936EDE">
      <w:pPr>
        <w:pStyle w:val="Sub-heading"/>
      </w:pPr>
    </w:p>
    <w:p w14:paraId="3E802196" w14:textId="77777777" w:rsidR="00936EDE" w:rsidRDefault="00936EDE" w:rsidP="00936EDE">
      <w:pPr>
        <w:pStyle w:val="Sub-heading"/>
      </w:pPr>
    </w:p>
    <w:p w14:paraId="78BDF59B" w14:textId="77777777" w:rsidR="00936EDE" w:rsidRDefault="00936EDE" w:rsidP="00370754"/>
    <w:sectPr w:rsidR="00936EDE" w:rsidSect="00003402">
      <w:footerReference w:type="default" r:id="rId11"/>
      <w:headerReference w:type="first" r:id="rId12"/>
      <w:footerReference w:type="first" r:id="rId13"/>
      <w:pgSz w:w="11900" w:h="16840"/>
      <w:pgMar w:top="1440" w:right="907" w:bottom="1440"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F71A6" w14:textId="77777777" w:rsidR="00186A05" w:rsidRDefault="00186A05" w:rsidP="00B626E2">
      <w:r>
        <w:separator/>
      </w:r>
    </w:p>
  </w:endnote>
  <w:endnote w:type="continuationSeparator" w:id="0">
    <w:p w14:paraId="12AB9553" w14:textId="77777777" w:rsidR="00186A05" w:rsidRDefault="00186A05" w:rsidP="00B626E2">
      <w:r>
        <w:continuationSeparator/>
      </w:r>
    </w:p>
  </w:endnote>
  <w:endnote w:type="continuationNotice" w:id="1">
    <w:p w14:paraId="2FE0FE46" w14:textId="77777777" w:rsidR="00186A05" w:rsidRDefault="00186A0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DengXian Light">
    <w:charset w:val="86"/>
    <w:family w:val="auto"/>
    <w:pitch w:val="variable"/>
    <w:sig w:usb0="A00002BF" w:usb1="38CF7CFA" w:usb2="00000016" w:usb3="00000000" w:csb0="0004000F" w:csb1="00000000"/>
  </w:font>
  <w:font w:name="Times New Roman (Headings CS)">
    <w:altName w:val="Times New Roman"/>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Aaux Next">
    <w:altName w:val="Calibri"/>
    <w:panose1 w:val="00000000000000000000"/>
    <w:charset w:val="4D"/>
    <w:family w:val="auto"/>
    <w:notTrueType/>
    <w:pitch w:val="variable"/>
    <w:sig w:usb0="A000006F" w:usb1="4000204B" w:usb2="00000000" w:usb3="00000000" w:csb0="00000093" w:csb1="00000000"/>
  </w:font>
  <w:font w:name="Aaux Next Regular">
    <w:altName w:val="Calibri"/>
    <w:panose1 w:val="00000000000000000000"/>
    <w:charset w:val="00"/>
    <w:family w:val="modern"/>
    <w:notTrueType/>
    <w:pitch w:val="variable"/>
    <w:sig w:usb0="A000006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4D658" w14:textId="0A794D2A" w:rsidR="00C47C8E" w:rsidRPr="00C842DE" w:rsidRDefault="00123BD3" w:rsidP="00C842DE">
    <w:pPr>
      <w:pStyle w:val="Footer"/>
    </w:pPr>
    <w:r>
      <w:rPr>
        <w:noProof/>
        <w:lang w:eastAsia="en-GB"/>
        <w14:ligatures w14:val="none"/>
      </w:rPr>
      <w:drawing>
        <wp:anchor distT="0" distB="0" distL="114300" distR="114300" simplePos="0" relativeHeight="251658242" behindDoc="1" locked="0" layoutInCell="1" allowOverlap="1" wp14:anchorId="6A91FB07" wp14:editId="3AFD1458">
          <wp:simplePos x="0" y="0"/>
          <wp:positionH relativeFrom="column">
            <wp:posOffset>-566420</wp:posOffset>
          </wp:positionH>
          <wp:positionV relativeFrom="paragraph">
            <wp:posOffset>-392430</wp:posOffset>
          </wp:positionV>
          <wp:extent cx="7537269" cy="987931"/>
          <wp:effectExtent l="0" t="0" r="0" b="317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iper A4.jpg"/>
                  <pic:cNvPicPr/>
                </pic:nvPicPr>
                <pic:blipFill>
                  <a:blip r:embed="rId1">
                    <a:extLst>
                      <a:ext uri="{28A0092B-C50C-407E-A947-70E740481C1C}">
                        <a14:useLocalDpi xmlns:a14="http://schemas.microsoft.com/office/drawing/2010/main" val="0"/>
                      </a:ext>
                    </a:extLst>
                  </a:blip>
                  <a:stretch>
                    <a:fillRect/>
                  </a:stretch>
                </pic:blipFill>
                <pic:spPr>
                  <a:xfrm>
                    <a:off x="0" y="0"/>
                    <a:ext cx="7791876" cy="1021303"/>
                  </a:xfrm>
                  <a:prstGeom prst="rect">
                    <a:avLst/>
                  </a:prstGeom>
                </pic:spPr>
              </pic:pic>
            </a:graphicData>
          </a:graphic>
          <wp14:sizeRelH relativeFrom="page">
            <wp14:pctWidth>0</wp14:pctWidth>
          </wp14:sizeRelH>
          <wp14:sizeRelV relativeFrom="page">
            <wp14:pctHeight>0</wp14:pctHeight>
          </wp14:sizeRelV>
        </wp:anchor>
      </w:drawing>
    </w:r>
    <w:r>
      <w:rPr>
        <w:noProof/>
        <w:lang w:eastAsia="en-GB"/>
        <w14:ligatures w14:val="none"/>
      </w:rPr>
      <mc:AlternateContent>
        <mc:Choice Requires="wps">
          <w:drawing>
            <wp:anchor distT="0" distB="0" distL="114300" distR="114300" simplePos="0" relativeHeight="251658241" behindDoc="0" locked="1" layoutInCell="1" allowOverlap="1" wp14:anchorId="08467D87" wp14:editId="2CED0315">
              <wp:simplePos x="0" y="0"/>
              <wp:positionH relativeFrom="column">
                <wp:posOffset>0</wp:posOffset>
              </wp:positionH>
              <wp:positionV relativeFrom="page">
                <wp:posOffset>9897110</wp:posOffset>
              </wp:positionV>
              <wp:extent cx="2515870" cy="57912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15870" cy="579120"/>
                      </a:xfrm>
                      <a:prstGeom prst="rect">
                        <a:avLst/>
                      </a:prstGeom>
                      <a:noFill/>
                      <a:ln w="6350">
                        <a:noFill/>
                      </a:ln>
                    </wps:spPr>
                    <wps:txbx>
                      <w:txbxContent>
                        <w:p w14:paraId="207E5E41" w14:textId="77777777" w:rsidR="00123BD3" w:rsidRPr="001B442B" w:rsidRDefault="00123BD3" w:rsidP="00123BD3">
                          <w:pPr>
                            <w:pStyle w:val="Footer"/>
                          </w:pPr>
                          <w:r w:rsidRPr="001B442B">
                            <w:t>0345 200 8600</w:t>
                          </w:r>
                        </w:p>
                        <w:p w14:paraId="2AF2B8CF" w14:textId="77777777" w:rsidR="00123BD3" w:rsidRDefault="00123BD3" w:rsidP="00123BD3">
                          <w:pPr>
                            <w:pStyle w:val="Footer"/>
                          </w:pPr>
                          <w:r w:rsidRPr="007C46F8">
                            <w:t>enquiries@junipereducation.org</w:t>
                          </w:r>
                        </w:p>
                        <w:p w14:paraId="3CA8A4D5" w14:textId="77777777" w:rsidR="00123BD3" w:rsidRDefault="00123BD3" w:rsidP="00123BD3">
                          <w:pPr>
                            <w:pStyle w:val="Footer"/>
                          </w:pPr>
                          <w:r w:rsidRPr="001B442B">
                            <w:t>junipereducation.org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467D87" id="_x0000_t202" coordsize="21600,21600" o:spt="202" path="m,l,21600r21600,l21600,xe">
              <v:stroke joinstyle="miter"/>
              <v:path gradientshapeok="t" o:connecttype="rect"/>
            </v:shapetype>
            <v:shape id="Text Box 3" o:spid="_x0000_s1026" type="#_x0000_t202" style="position:absolute;margin-left:0;margin-top:779.3pt;width:198.1pt;height:45.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" filled="f" stroked="f" strokeweight=".5pt">
              <v:textbox>
                <w:txbxContent>
                  <w:p w14:paraId="207E5E41" w14:textId="77777777" w:rsidR="00123BD3" w:rsidRPr="001B442B" w:rsidRDefault="00123BD3" w:rsidP="00123BD3">
                    <w:pPr>
                      <w:pStyle w:val="Footer"/>
                    </w:pPr>
                    <w:r w:rsidRPr="001B442B">
                      <w:t>0345 200 8600</w:t>
                    </w:r>
                  </w:p>
                  <w:p w14:paraId="2AF2B8CF" w14:textId="77777777" w:rsidR="00123BD3" w:rsidRDefault="00123BD3" w:rsidP="00123BD3">
                    <w:pPr>
                      <w:pStyle w:val="Footer"/>
                    </w:pPr>
                    <w:r w:rsidRPr="007C46F8">
                      <w:t>enquiries@junipereducation.org</w:t>
                    </w:r>
                  </w:p>
                  <w:p w14:paraId="3CA8A4D5" w14:textId="77777777" w:rsidR="00123BD3" w:rsidRDefault="00123BD3" w:rsidP="00123BD3">
                    <w:pPr>
                      <w:pStyle w:val="Footer"/>
                    </w:pPr>
                    <w:r w:rsidRPr="001B442B">
                      <w:t>junipereducation.org</w:t>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55F83" w14:textId="1B8329BC" w:rsidR="000518AF" w:rsidRPr="001B442B" w:rsidRDefault="0017793A" w:rsidP="001B442B">
    <w:pPr>
      <w:pStyle w:val="Footer"/>
    </w:pPr>
    <w:r w:rsidRPr="001B442B">
      <w:t>0345 200 8600</w:t>
    </w:r>
  </w:p>
  <w:p w14:paraId="11E4D077" w14:textId="27E8F8B2" w:rsidR="001B442B" w:rsidRPr="001B442B" w:rsidRDefault="001B442B" w:rsidP="001B442B">
    <w:pPr>
      <w:pStyle w:val="Footer"/>
    </w:pPr>
    <w:r w:rsidRPr="001B442B">
      <w:t>enquiries@junipereducation.org</w:t>
    </w:r>
  </w:p>
  <w:p w14:paraId="79438E1D" w14:textId="5A3D3E89" w:rsidR="002D4514" w:rsidRPr="001B442B" w:rsidRDefault="000518AF" w:rsidP="001B442B">
    <w:pPr>
      <w:pStyle w:val="Footer"/>
    </w:pPr>
    <w:r w:rsidRPr="001B442B">
      <w:t>junipereducation.org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CE981" w14:textId="77777777" w:rsidR="00186A05" w:rsidRDefault="00186A05" w:rsidP="00B626E2">
      <w:r>
        <w:separator/>
      </w:r>
    </w:p>
  </w:footnote>
  <w:footnote w:type="continuationSeparator" w:id="0">
    <w:p w14:paraId="4DD8E82D" w14:textId="77777777" w:rsidR="00186A05" w:rsidRDefault="00186A05" w:rsidP="00B626E2">
      <w:r>
        <w:continuationSeparator/>
      </w:r>
    </w:p>
  </w:footnote>
  <w:footnote w:type="continuationNotice" w:id="1">
    <w:p w14:paraId="36666B72" w14:textId="77777777" w:rsidR="00186A05" w:rsidRDefault="00186A05">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AABD3" w14:textId="64F6A760" w:rsidR="00C47C8E" w:rsidRDefault="005353C3" w:rsidP="00B626E2">
    <w:r>
      <w:rPr>
        <w:noProof/>
        <w:lang w:eastAsia="en-GB"/>
        <w14:ligatures w14:val="none"/>
      </w:rPr>
      <w:drawing>
        <wp:anchor distT="0" distB="0" distL="114300" distR="114300" simplePos="0" relativeHeight="251658240" behindDoc="1" locked="0" layoutInCell="1" allowOverlap="1" wp14:anchorId="390841BA" wp14:editId="0A44FAAC">
          <wp:simplePos x="0" y="0"/>
          <wp:positionH relativeFrom="column">
            <wp:posOffset>-562610</wp:posOffset>
          </wp:positionH>
          <wp:positionV relativeFrom="paragraph">
            <wp:posOffset>-450215</wp:posOffset>
          </wp:positionV>
          <wp:extent cx="7524206" cy="885291"/>
          <wp:effectExtent l="0" t="0" r="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uniper A42.jpg"/>
                  <pic:cNvPicPr/>
                </pic:nvPicPr>
                <pic:blipFill>
                  <a:blip r:embed="rId1">
                    <a:extLst>
                      <a:ext uri="{28A0092B-C50C-407E-A947-70E740481C1C}">
                        <a14:useLocalDpi xmlns:a14="http://schemas.microsoft.com/office/drawing/2010/main" val="0"/>
                      </a:ext>
                    </a:extLst>
                  </a:blip>
                  <a:stretch>
                    <a:fillRect/>
                  </a:stretch>
                </pic:blipFill>
                <pic:spPr>
                  <a:xfrm>
                    <a:off x="0" y="0"/>
                    <a:ext cx="7782660" cy="915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00DE"/>
    <w:multiLevelType w:val="hybridMultilevel"/>
    <w:tmpl w:val="D600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D21E7"/>
    <w:multiLevelType w:val="hybridMultilevel"/>
    <w:tmpl w:val="C4C2D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B0A53"/>
    <w:multiLevelType w:val="hybridMultilevel"/>
    <w:tmpl w:val="A420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A69D4"/>
    <w:multiLevelType w:val="hybridMultilevel"/>
    <w:tmpl w:val="7976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E7CAC"/>
    <w:multiLevelType w:val="hybridMultilevel"/>
    <w:tmpl w:val="69F42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051F1"/>
    <w:multiLevelType w:val="hybridMultilevel"/>
    <w:tmpl w:val="8F6E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A219F"/>
    <w:multiLevelType w:val="hybridMultilevel"/>
    <w:tmpl w:val="F1F8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F5C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01A07AF"/>
    <w:multiLevelType w:val="hybridMultilevel"/>
    <w:tmpl w:val="F29A7CE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313C147A"/>
    <w:multiLevelType w:val="multilevel"/>
    <w:tmpl w:val="C7B851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9301B86"/>
    <w:multiLevelType w:val="hybridMultilevel"/>
    <w:tmpl w:val="1F5A2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D6407A"/>
    <w:multiLevelType w:val="hybridMultilevel"/>
    <w:tmpl w:val="6E74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B5CF2"/>
    <w:multiLevelType w:val="hybridMultilevel"/>
    <w:tmpl w:val="F694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D2066E"/>
    <w:multiLevelType w:val="hybridMultilevel"/>
    <w:tmpl w:val="A96E8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82F6B"/>
    <w:multiLevelType w:val="hybridMultilevel"/>
    <w:tmpl w:val="C89E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8562F1"/>
    <w:multiLevelType w:val="hybridMultilevel"/>
    <w:tmpl w:val="FA96ED26"/>
    <w:lvl w:ilvl="0" w:tplc="72E07BCE">
      <w:start w:val="1"/>
      <w:numFmt w:val="bullet"/>
      <w:pStyle w:val="Bullets"/>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9"/>
  </w:num>
  <w:num w:numId="4">
    <w:abstractNumId w:val="12"/>
  </w:num>
  <w:num w:numId="5">
    <w:abstractNumId w:val="10"/>
  </w:num>
  <w:num w:numId="6">
    <w:abstractNumId w:val="8"/>
  </w:num>
  <w:num w:numId="7">
    <w:abstractNumId w:val="14"/>
  </w:num>
  <w:num w:numId="8">
    <w:abstractNumId w:val="0"/>
  </w:num>
  <w:num w:numId="9">
    <w:abstractNumId w:val="4"/>
  </w:num>
  <w:num w:numId="10">
    <w:abstractNumId w:val="5"/>
  </w:num>
  <w:num w:numId="11">
    <w:abstractNumId w:val="6"/>
  </w:num>
  <w:num w:numId="12">
    <w:abstractNumId w:val="1"/>
  </w:num>
  <w:num w:numId="13">
    <w:abstractNumId w:val="13"/>
  </w:num>
  <w:num w:numId="14">
    <w:abstractNumId w:val="3"/>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BC"/>
    <w:rsid w:val="00003402"/>
    <w:rsid w:val="00006125"/>
    <w:rsid w:val="00007519"/>
    <w:rsid w:val="00026306"/>
    <w:rsid w:val="00031FE4"/>
    <w:rsid w:val="0004021B"/>
    <w:rsid w:val="0004082E"/>
    <w:rsid w:val="000518AF"/>
    <w:rsid w:val="00060706"/>
    <w:rsid w:val="00062F99"/>
    <w:rsid w:val="000B0852"/>
    <w:rsid w:val="000C0B1D"/>
    <w:rsid w:val="000C29A1"/>
    <w:rsid w:val="000C43D0"/>
    <w:rsid w:val="000C6B41"/>
    <w:rsid w:val="000D3093"/>
    <w:rsid w:val="00116EC6"/>
    <w:rsid w:val="00123BD3"/>
    <w:rsid w:val="0012772B"/>
    <w:rsid w:val="001360DB"/>
    <w:rsid w:val="00136475"/>
    <w:rsid w:val="0014700C"/>
    <w:rsid w:val="0014719B"/>
    <w:rsid w:val="0017793A"/>
    <w:rsid w:val="001867AF"/>
    <w:rsid w:val="00186A05"/>
    <w:rsid w:val="001A0447"/>
    <w:rsid w:val="001B442B"/>
    <w:rsid w:val="001C4E43"/>
    <w:rsid w:val="001C66FE"/>
    <w:rsid w:val="001E32A9"/>
    <w:rsid w:val="001F5238"/>
    <w:rsid w:val="001F7749"/>
    <w:rsid w:val="0020652D"/>
    <w:rsid w:val="00226BD3"/>
    <w:rsid w:val="002354D6"/>
    <w:rsid w:val="0024273D"/>
    <w:rsid w:val="00245134"/>
    <w:rsid w:val="00256F65"/>
    <w:rsid w:val="00264336"/>
    <w:rsid w:val="00275989"/>
    <w:rsid w:val="00284F83"/>
    <w:rsid w:val="002914A7"/>
    <w:rsid w:val="00293B12"/>
    <w:rsid w:val="002B75E3"/>
    <w:rsid w:val="002C4938"/>
    <w:rsid w:val="002D38BB"/>
    <w:rsid w:val="002D4514"/>
    <w:rsid w:val="002E3E06"/>
    <w:rsid w:val="002F6148"/>
    <w:rsid w:val="00301475"/>
    <w:rsid w:val="00311A69"/>
    <w:rsid w:val="00314B55"/>
    <w:rsid w:val="0033397A"/>
    <w:rsid w:val="00370754"/>
    <w:rsid w:val="003822B0"/>
    <w:rsid w:val="00387FD7"/>
    <w:rsid w:val="00390992"/>
    <w:rsid w:val="00393025"/>
    <w:rsid w:val="003B4BFA"/>
    <w:rsid w:val="003B61E1"/>
    <w:rsid w:val="00420204"/>
    <w:rsid w:val="00425557"/>
    <w:rsid w:val="004272F3"/>
    <w:rsid w:val="00440936"/>
    <w:rsid w:val="004465E2"/>
    <w:rsid w:val="00447650"/>
    <w:rsid w:val="004512D1"/>
    <w:rsid w:val="00496E0C"/>
    <w:rsid w:val="004A4B1E"/>
    <w:rsid w:val="004B18AE"/>
    <w:rsid w:val="004C2D31"/>
    <w:rsid w:val="004C60A5"/>
    <w:rsid w:val="004D5C81"/>
    <w:rsid w:val="00507664"/>
    <w:rsid w:val="0052025B"/>
    <w:rsid w:val="005219CB"/>
    <w:rsid w:val="00522969"/>
    <w:rsid w:val="0052472E"/>
    <w:rsid w:val="00525F6D"/>
    <w:rsid w:val="005353C3"/>
    <w:rsid w:val="00547343"/>
    <w:rsid w:val="00562CB9"/>
    <w:rsid w:val="0057159E"/>
    <w:rsid w:val="005715BF"/>
    <w:rsid w:val="005732BB"/>
    <w:rsid w:val="005B0203"/>
    <w:rsid w:val="005B4BFB"/>
    <w:rsid w:val="005D150F"/>
    <w:rsid w:val="005D6277"/>
    <w:rsid w:val="005D6FA2"/>
    <w:rsid w:val="005E5D8F"/>
    <w:rsid w:val="005F1645"/>
    <w:rsid w:val="005F252F"/>
    <w:rsid w:val="005F28B8"/>
    <w:rsid w:val="005F6148"/>
    <w:rsid w:val="00602EE8"/>
    <w:rsid w:val="00636877"/>
    <w:rsid w:val="00650A99"/>
    <w:rsid w:val="00650F9F"/>
    <w:rsid w:val="0067373D"/>
    <w:rsid w:val="00673965"/>
    <w:rsid w:val="00680A3D"/>
    <w:rsid w:val="006A1B28"/>
    <w:rsid w:val="006A37E0"/>
    <w:rsid w:val="006A5100"/>
    <w:rsid w:val="006B4880"/>
    <w:rsid w:val="006E6244"/>
    <w:rsid w:val="006E72A6"/>
    <w:rsid w:val="00710563"/>
    <w:rsid w:val="00710C47"/>
    <w:rsid w:val="00710F7F"/>
    <w:rsid w:val="00713680"/>
    <w:rsid w:val="00732C21"/>
    <w:rsid w:val="0076162B"/>
    <w:rsid w:val="007B3FB6"/>
    <w:rsid w:val="007D1007"/>
    <w:rsid w:val="007D393F"/>
    <w:rsid w:val="007D3EBC"/>
    <w:rsid w:val="007D4164"/>
    <w:rsid w:val="007E035D"/>
    <w:rsid w:val="007F18CD"/>
    <w:rsid w:val="00833C7B"/>
    <w:rsid w:val="00835229"/>
    <w:rsid w:val="00852879"/>
    <w:rsid w:val="00861033"/>
    <w:rsid w:val="008810F8"/>
    <w:rsid w:val="008869C4"/>
    <w:rsid w:val="00893B88"/>
    <w:rsid w:val="00894DD2"/>
    <w:rsid w:val="008970D0"/>
    <w:rsid w:val="008A383D"/>
    <w:rsid w:val="008A7F6F"/>
    <w:rsid w:val="008C1FBC"/>
    <w:rsid w:val="008C2459"/>
    <w:rsid w:val="008C36C0"/>
    <w:rsid w:val="008F0AA6"/>
    <w:rsid w:val="00905707"/>
    <w:rsid w:val="00932806"/>
    <w:rsid w:val="00936EDE"/>
    <w:rsid w:val="00957E9C"/>
    <w:rsid w:val="0096758A"/>
    <w:rsid w:val="009716FE"/>
    <w:rsid w:val="00984D20"/>
    <w:rsid w:val="009D1DB8"/>
    <w:rsid w:val="009D2147"/>
    <w:rsid w:val="009E6BAC"/>
    <w:rsid w:val="009F5D09"/>
    <w:rsid w:val="00A01544"/>
    <w:rsid w:val="00A67867"/>
    <w:rsid w:val="00AB4A8F"/>
    <w:rsid w:val="00AB5F66"/>
    <w:rsid w:val="00AC361E"/>
    <w:rsid w:val="00AE1837"/>
    <w:rsid w:val="00AE29D3"/>
    <w:rsid w:val="00AE3681"/>
    <w:rsid w:val="00AE4C68"/>
    <w:rsid w:val="00AE6D8E"/>
    <w:rsid w:val="00B01FA0"/>
    <w:rsid w:val="00B02472"/>
    <w:rsid w:val="00B17BCE"/>
    <w:rsid w:val="00B54706"/>
    <w:rsid w:val="00B626E2"/>
    <w:rsid w:val="00B81780"/>
    <w:rsid w:val="00BB2FC0"/>
    <w:rsid w:val="00BC42B1"/>
    <w:rsid w:val="00BE3AB2"/>
    <w:rsid w:val="00BE6ABD"/>
    <w:rsid w:val="00C05CAE"/>
    <w:rsid w:val="00C2762B"/>
    <w:rsid w:val="00C33E56"/>
    <w:rsid w:val="00C36118"/>
    <w:rsid w:val="00C36302"/>
    <w:rsid w:val="00C45E75"/>
    <w:rsid w:val="00C47C8E"/>
    <w:rsid w:val="00C539A1"/>
    <w:rsid w:val="00C53F6A"/>
    <w:rsid w:val="00C63D3E"/>
    <w:rsid w:val="00C77FBC"/>
    <w:rsid w:val="00C842DE"/>
    <w:rsid w:val="00CC2327"/>
    <w:rsid w:val="00CE7118"/>
    <w:rsid w:val="00D10F44"/>
    <w:rsid w:val="00D251CB"/>
    <w:rsid w:val="00D30515"/>
    <w:rsid w:val="00D42462"/>
    <w:rsid w:val="00D42B14"/>
    <w:rsid w:val="00D55A73"/>
    <w:rsid w:val="00D560B6"/>
    <w:rsid w:val="00D56F71"/>
    <w:rsid w:val="00D57B1B"/>
    <w:rsid w:val="00D71006"/>
    <w:rsid w:val="00D72893"/>
    <w:rsid w:val="00DA488A"/>
    <w:rsid w:val="00DB090F"/>
    <w:rsid w:val="00DB1796"/>
    <w:rsid w:val="00DC1002"/>
    <w:rsid w:val="00DC4723"/>
    <w:rsid w:val="00DD5FC3"/>
    <w:rsid w:val="00DD6FA3"/>
    <w:rsid w:val="00DE547B"/>
    <w:rsid w:val="00E00191"/>
    <w:rsid w:val="00E00656"/>
    <w:rsid w:val="00E05478"/>
    <w:rsid w:val="00E169B6"/>
    <w:rsid w:val="00E27BC3"/>
    <w:rsid w:val="00E9136B"/>
    <w:rsid w:val="00EA1D24"/>
    <w:rsid w:val="00EC203E"/>
    <w:rsid w:val="00ED06B3"/>
    <w:rsid w:val="00EE16A9"/>
    <w:rsid w:val="00EE65D4"/>
    <w:rsid w:val="00EE78DD"/>
    <w:rsid w:val="00F158CB"/>
    <w:rsid w:val="00F24FE0"/>
    <w:rsid w:val="00F408AB"/>
    <w:rsid w:val="00F41277"/>
    <w:rsid w:val="00F41AD5"/>
    <w:rsid w:val="00F464F7"/>
    <w:rsid w:val="00F64ED5"/>
    <w:rsid w:val="00F80C25"/>
    <w:rsid w:val="00FA11A9"/>
    <w:rsid w:val="00FB1A6F"/>
    <w:rsid w:val="00FE49B9"/>
    <w:rsid w:val="00FE4F80"/>
    <w:rsid w:val="00FF6E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4CD70F"/>
  <w15:chartTrackingRefBased/>
  <w15:docId w15:val="{A670856D-1E43-734A-8515-1FA7A912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E9C"/>
    <w:pPr>
      <w:suppressAutoHyphens/>
      <w:spacing w:before="160" w:after="160" w:line="250" w:lineRule="exact"/>
    </w:pPr>
    <w:rPr>
      <w:rFonts w:ascii="Franklin Gothic Book" w:hAnsi="Franklin Gothic Book" w:cs="Times New Roman (Body CS)"/>
      <w:sz w:val="20"/>
      <w14:ligatures w14:val="all"/>
    </w:rPr>
  </w:style>
  <w:style w:type="paragraph" w:styleId="Heading1">
    <w:name w:val="heading 1"/>
    <w:aliases w:val="Heading 20/25"/>
    <w:basedOn w:val="Normal"/>
    <w:next w:val="Normal"/>
    <w:link w:val="Heading1Char"/>
    <w:uiPriority w:val="9"/>
    <w:rsid w:val="005D6FA2"/>
    <w:pPr>
      <w:keepNext/>
      <w:keepLines/>
      <w:spacing w:before="240" w:after="200" w:line="500" w:lineRule="exact"/>
      <w:outlineLvl w:val="0"/>
    </w:pPr>
    <w:rPr>
      <w:rFonts w:eastAsiaTheme="majorEastAsia" w:cs="Times New Roman (Headings CS)"/>
      <w:b/>
      <w:caps/>
      <w:color w:val="1C1238"/>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autoRedefine/>
    <w:qFormat/>
    <w:rsid w:val="00957E9C"/>
    <w:rPr>
      <w:rFonts w:ascii="Franklin Gothic Medium" w:hAnsi="Franklin Gothic Medium"/>
      <w:b w:val="0"/>
    </w:rPr>
  </w:style>
  <w:style w:type="paragraph" w:styleId="Quote">
    <w:name w:val="Quote"/>
    <w:basedOn w:val="Normal"/>
    <w:next w:val="Normal"/>
    <w:link w:val="QuoteChar"/>
    <w:uiPriority w:val="29"/>
    <w:qFormat/>
    <w:rsid w:val="00650A99"/>
    <w:pPr>
      <w:framePr w:vSpace="100" w:wrap="around" w:vAnchor="text" w:hAnchor="text" w:y="1"/>
      <w:pBdr>
        <w:left w:val="single" w:sz="6" w:space="4" w:color="6E6299"/>
      </w:pBdr>
      <w:spacing w:before="100" w:after="100"/>
      <w:ind w:left="340" w:right="227"/>
    </w:pPr>
    <w:rPr>
      <w:i/>
      <w:iCs/>
      <w:color w:val="535353" w:themeColor="text1" w:themeTint="BF"/>
    </w:rPr>
  </w:style>
  <w:style w:type="character" w:styleId="Emphasis">
    <w:name w:val="Emphasis"/>
    <w:basedOn w:val="DefaultParagraphFont"/>
    <w:uiPriority w:val="20"/>
    <w:qFormat/>
    <w:rsid w:val="00957E9C"/>
    <w:rPr>
      <w:rFonts w:ascii="Franklin Gothic Book" w:hAnsi="Franklin Gothic Book"/>
      <w:b w:val="0"/>
      <w:i/>
      <w:iCs/>
    </w:rPr>
  </w:style>
  <w:style w:type="character" w:styleId="Strong">
    <w:name w:val="Strong"/>
    <w:basedOn w:val="DefaultParagraphFont"/>
    <w:uiPriority w:val="22"/>
    <w:qFormat/>
    <w:rsid w:val="00957E9C"/>
    <w:rPr>
      <w:rFonts w:ascii="Franklin Gothic Book" w:hAnsi="Franklin Gothic Book"/>
      <w:b/>
      <w:bCs/>
    </w:rPr>
  </w:style>
  <w:style w:type="character" w:customStyle="1" w:styleId="Heading1Char">
    <w:name w:val="Heading 1 Char"/>
    <w:aliases w:val="Heading 20/25 Char"/>
    <w:basedOn w:val="DefaultParagraphFont"/>
    <w:link w:val="Heading1"/>
    <w:uiPriority w:val="9"/>
    <w:rsid w:val="005D6FA2"/>
    <w:rPr>
      <w:rFonts w:ascii="Aaux Next" w:eastAsiaTheme="majorEastAsia" w:hAnsi="Aaux Next" w:cs="Times New Roman (Headings CS)"/>
      <w:b/>
      <w:caps/>
      <w:color w:val="1C1238"/>
      <w:sz w:val="40"/>
      <w:szCs w:val="32"/>
      <w14:ligatures w14:val="all"/>
    </w:rPr>
  </w:style>
  <w:style w:type="paragraph" w:styleId="NormalWeb">
    <w:name w:val="Normal (Web)"/>
    <w:basedOn w:val="Normal"/>
    <w:uiPriority w:val="99"/>
    <w:semiHidden/>
    <w:unhideWhenUsed/>
    <w:rsid w:val="00B626E2"/>
    <w:pPr>
      <w:spacing w:before="100" w:beforeAutospacing="1" w:after="100" w:afterAutospacing="1" w:line="240" w:lineRule="auto"/>
    </w:pPr>
    <w:rPr>
      <w:rFonts w:ascii="Times New Roman" w:eastAsia="Times New Roman" w:hAnsi="Times New Roman" w:cs="Times New Roman"/>
      <w:sz w:val="24"/>
      <w:lang w:eastAsia="en-GB"/>
      <w14:ligatures w14:val="none"/>
    </w:rPr>
  </w:style>
  <w:style w:type="paragraph" w:styleId="NoSpacing">
    <w:name w:val="No Spacing"/>
    <w:uiPriority w:val="1"/>
    <w:rsid w:val="00B626E2"/>
    <w:rPr>
      <w:rFonts w:ascii="Aaux Next" w:hAnsi="Aaux Next" w:cs="Times New Roman (Body CS)"/>
      <w:sz w:val="20"/>
      <w14:ligatures w14:val="all"/>
    </w:rPr>
  </w:style>
  <w:style w:type="paragraph" w:customStyle="1" w:styleId="Sub-heading">
    <w:name w:val="Sub-heading"/>
    <w:basedOn w:val="Heading"/>
    <w:autoRedefine/>
    <w:qFormat/>
    <w:rsid w:val="00957E9C"/>
    <w:pPr>
      <w:spacing w:after="160" w:line="400" w:lineRule="exact"/>
    </w:pPr>
    <w:rPr>
      <w:caps w:val="0"/>
      <w:sz w:val="32"/>
    </w:rPr>
  </w:style>
  <w:style w:type="paragraph" w:customStyle="1" w:styleId="Normal-Bold">
    <w:name w:val="Normal-Bold"/>
    <w:basedOn w:val="Normal"/>
    <w:rsid w:val="005F6148"/>
    <w:rPr>
      <w:b/>
    </w:rPr>
  </w:style>
  <w:style w:type="character" w:customStyle="1" w:styleId="QuoteChar">
    <w:name w:val="Quote Char"/>
    <w:basedOn w:val="DefaultParagraphFont"/>
    <w:link w:val="Quote"/>
    <w:uiPriority w:val="29"/>
    <w:rsid w:val="00650A99"/>
    <w:rPr>
      <w:rFonts w:ascii="Aaux Next" w:hAnsi="Aaux Next" w:cs="Times New Roman (Body CS)"/>
      <w:i/>
      <w:iCs/>
      <w:color w:val="535353" w:themeColor="text1" w:themeTint="BF"/>
      <w:sz w:val="20"/>
      <w14:ligatures w14:val="all"/>
    </w:rPr>
  </w:style>
  <w:style w:type="paragraph" w:styleId="Header">
    <w:name w:val="header"/>
    <w:basedOn w:val="Normal"/>
    <w:link w:val="HeaderChar"/>
    <w:uiPriority w:val="99"/>
    <w:unhideWhenUsed/>
    <w:rsid w:val="00EE65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E65D4"/>
    <w:rPr>
      <w:rFonts w:ascii="Aaux Next" w:hAnsi="Aaux Next" w:cs="Times New Roman (Body CS)"/>
      <w:sz w:val="20"/>
      <w14:ligatures w14:val="all"/>
    </w:rPr>
  </w:style>
  <w:style w:type="paragraph" w:customStyle="1" w:styleId="Bullets">
    <w:name w:val="Bullets"/>
    <w:basedOn w:val="Normal"/>
    <w:autoRedefine/>
    <w:qFormat/>
    <w:rsid w:val="00957E9C"/>
    <w:pPr>
      <w:numPr>
        <w:numId w:val="1"/>
      </w:numPr>
    </w:pPr>
  </w:style>
  <w:style w:type="paragraph" w:styleId="Footer">
    <w:name w:val="footer"/>
    <w:basedOn w:val="Normal"/>
    <w:link w:val="FooterChar"/>
    <w:uiPriority w:val="99"/>
    <w:unhideWhenUsed/>
    <w:rsid w:val="00C47C8E"/>
    <w:pPr>
      <w:tabs>
        <w:tab w:val="center" w:pos="4513"/>
        <w:tab w:val="right" w:pos="9026"/>
      </w:tabs>
      <w:spacing w:before="0" w:after="0" w:line="240" w:lineRule="auto"/>
    </w:pPr>
    <w:rPr>
      <w:color w:val="696969"/>
    </w:rPr>
  </w:style>
  <w:style w:type="character" w:customStyle="1" w:styleId="FooterChar">
    <w:name w:val="Footer Char"/>
    <w:basedOn w:val="DefaultParagraphFont"/>
    <w:link w:val="Footer"/>
    <w:uiPriority w:val="99"/>
    <w:rsid w:val="00C47C8E"/>
    <w:rPr>
      <w:rFonts w:ascii="Aaux Next" w:hAnsi="Aaux Next" w:cs="Times New Roman (Body CS)"/>
      <w:color w:val="696969"/>
      <w:sz w:val="20"/>
      <w14:ligatures w14:val="all"/>
    </w:rPr>
  </w:style>
  <w:style w:type="paragraph" w:customStyle="1" w:styleId="Letter-AddressDate">
    <w:name w:val="Letter - Address &amp; Date"/>
    <w:basedOn w:val="NoSpacing"/>
    <w:autoRedefine/>
    <w:qFormat/>
    <w:rsid w:val="00957E9C"/>
    <w:pPr>
      <w:jc w:val="right"/>
    </w:pPr>
    <w:rPr>
      <w:rFonts w:ascii="Franklin Gothic Book" w:hAnsi="Franklin Gothic Book"/>
    </w:rPr>
  </w:style>
  <w:style w:type="paragraph" w:customStyle="1" w:styleId="Letter-Recipient">
    <w:name w:val="Letter - Recipient"/>
    <w:basedOn w:val="Letter-AddressDate"/>
    <w:autoRedefine/>
    <w:qFormat/>
    <w:rsid w:val="00680A3D"/>
    <w:pPr>
      <w:jc w:val="left"/>
    </w:pPr>
  </w:style>
  <w:style w:type="paragraph" w:styleId="BalloonText">
    <w:name w:val="Balloon Text"/>
    <w:basedOn w:val="Normal"/>
    <w:link w:val="BalloonTextChar"/>
    <w:uiPriority w:val="99"/>
    <w:semiHidden/>
    <w:unhideWhenUsed/>
    <w:rsid w:val="00D42462"/>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2462"/>
    <w:rPr>
      <w:rFonts w:ascii="Times New Roman" w:hAnsi="Times New Roman" w:cs="Times New Roman"/>
      <w:sz w:val="18"/>
      <w:szCs w:val="18"/>
      <w14:ligatures w14:val="all"/>
    </w:rPr>
  </w:style>
  <w:style w:type="paragraph" w:customStyle="1" w:styleId="Body-Copy10125">
    <w:name w:val="Body-Copy 10/12.5"/>
    <w:basedOn w:val="Normal"/>
    <w:uiPriority w:val="99"/>
    <w:rsid w:val="00C47C8E"/>
    <w:pPr>
      <w:keepLines/>
      <w:autoSpaceDE w:val="0"/>
      <w:autoSpaceDN w:val="0"/>
      <w:adjustRightInd w:val="0"/>
      <w:spacing w:before="0" w:after="120" w:line="250" w:lineRule="atLeast"/>
      <w:jc w:val="both"/>
      <w:textAlignment w:val="center"/>
    </w:pPr>
    <w:rPr>
      <w:rFonts w:ascii="Aaux Next Regular" w:hAnsi="Aaux Next Regular" w:cs="Aaux Next Regular"/>
      <w:color w:val="000000"/>
      <w:szCs w:val="20"/>
      <w14:ligatures w14:val="none"/>
    </w:rPr>
  </w:style>
  <w:style w:type="table" w:styleId="TableGrid">
    <w:name w:val="Table Grid"/>
    <w:basedOn w:val="TableNormal"/>
    <w:uiPriority w:val="39"/>
    <w:rsid w:val="0006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Sub-heading"/>
    <w:autoRedefine/>
    <w:qFormat/>
    <w:rsid w:val="009D1DB8"/>
    <w:rPr>
      <w:sz w:val="24"/>
      <w:szCs w:val="28"/>
    </w:rPr>
  </w:style>
  <w:style w:type="paragraph" w:customStyle="1" w:styleId="TextboxText">
    <w:name w:val="Textbox Text"/>
    <w:basedOn w:val="Sub-heading"/>
    <w:autoRedefine/>
    <w:qFormat/>
    <w:rsid w:val="00AE6D8E"/>
    <w:pPr>
      <w:spacing w:before="80" w:after="80" w:line="300" w:lineRule="exact"/>
    </w:pPr>
    <w:rPr>
      <w:color w:val="FFFFFF" w:themeColor="background1"/>
      <w:sz w:val="24"/>
    </w:rPr>
  </w:style>
  <w:style w:type="paragraph" w:styleId="ListParagraph">
    <w:name w:val="List Paragraph"/>
    <w:basedOn w:val="Normal"/>
    <w:uiPriority w:val="34"/>
    <w:qFormat/>
    <w:rsid w:val="00116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66147">
      <w:bodyDiv w:val="1"/>
      <w:marLeft w:val="0"/>
      <w:marRight w:val="0"/>
      <w:marTop w:val="0"/>
      <w:marBottom w:val="0"/>
      <w:divBdr>
        <w:top w:val="none" w:sz="0" w:space="0" w:color="auto"/>
        <w:left w:val="none" w:sz="0" w:space="0" w:color="auto"/>
        <w:bottom w:val="none" w:sz="0" w:space="0" w:color="auto"/>
        <w:right w:val="none" w:sz="0" w:space="0" w:color="auto"/>
      </w:divBdr>
    </w:div>
    <w:div w:id="11356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Juniper">
  <a:themeElements>
    <a:clrScheme name="Juniper">
      <a:dk1>
        <a:srgbClr val="1A1A1A"/>
      </a:dk1>
      <a:lt1>
        <a:srgbClr val="FFFFFF"/>
      </a:lt1>
      <a:dk2>
        <a:srgbClr val="000000"/>
      </a:dk2>
      <a:lt2>
        <a:srgbClr val="FFFFFF"/>
      </a:lt2>
      <a:accent1>
        <a:srgbClr val="1C1137"/>
      </a:accent1>
      <a:accent2>
        <a:srgbClr val="6D6299"/>
      </a:accent2>
      <a:accent3>
        <a:srgbClr val="2C7E3C"/>
      </a:accent3>
      <a:accent4>
        <a:srgbClr val="3C2E59"/>
      </a:accent4>
      <a:accent5>
        <a:srgbClr val="696969"/>
      </a:accent5>
      <a:accent6>
        <a:srgbClr val="569A6B"/>
      </a:accent6>
      <a:hlink>
        <a:srgbClr val="262626"/>
      </a:hlink>
      <a:folHlink>
        <a:srgbClr val="1A1A1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1954FBBD91514DA928F022EDDA9F84" ma:contentTypeVersion="12" ma:contentTypeDescription="Create a new document." ma:contentTypeScope="" ma:versionID="e3e06f870668025e8a424c4e657fdd08">
  <xsd:schema xmlns:xsd="http://www.w3.org/2001/XMLSchema" xmlns:xs="http://www.w3.org/2001/XMLSchema" xmlns:p="http://schemas.microsoft.com/office/2006/metadata/properties" xmlns:ns2="11474d85-8296-440b-81c6-3e8c8433a92b" xmlns:ns3="4f173745-7bdd-4b65-a7ba-ae8b01a0e0d5" targetNamespace="http://schemas.microsoft.com/office/2006/metadata/properties" ma:root="true" ma:fieldsID="193c9cee562e819e12a7a7d2f08661a4" ns2:_="" ns3:_="">
    <xsd:import namespace="11474d85-8296-440b-81c6-3e8c8433a92b"/>
    <xsd:import namespace="4f173745-7bdd-4b65-a7ba-ae8b01a0e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74d85-8296-440b-81c6-3e8c8433a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173745-7bdd-4b65-a7ba-ae8b01a0e0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A87A6-6E55-48FF-896A-E089197B53F2}">
  <ds:schemaRefs>
    <ds:schemaRef ds:uri="http://purl.org/dc/dcmitype/"/>
    <ds:schemaRef ds:uri="http://schemas.microsoft.com/office/2006/documentManagement/types"/>
    <ds:schemaRef ds:uri="http://purl.org/dc/terms/"/>
    <ds:schemaRef ds:uri="4f173745-7bdd-4b65-a7ba-ae8b01a0e0d5"/>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11474d85-8296-440b-81c6-3e8c8433a92b"/>
    <ds:schemaRef ds:uri="http://www.w3.org/XML/1998/namespace"/>
  </ds:schemaRefs>
</ds:datastoreItem>
</file>

<file path=customXml/itemProps2.xml><?xml version="1.0" encoding="utf-8"?>
<ds:datastoreItem xmlns:ds="http://schemas.openxmlformats.org/officeDocument/2006/customXml" ds:itemID="{EED6A457-7537-4F4E-A41E-EE50849F9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74d85-8296-440b-81c6-3e8c8433a92b"/>
    <ds:schemaRef ds:uri="4f173745-7bdd-4b65-a7ba-ae8b01a0e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D73192-75F4-4A44-92D6-92D14F76E557}">
  <ds:schemaRefs>
    <ds:schemaRef ds:uri="http://schemas.microsoft.com/sharepoint/v3/contenttype/forms"/>
  </ds:schemaRefs>
</ds:datastoreItem>
</file>

<file path=customXml/itemProps4.xml><?xml version="1.0" encoding="utf-8"?>
<ds:datastoreItem xmlns:ds="http://schemas.openxmlformats.org/officeDocument/2006/customXml" ds:itemID="{C521CCE9-B863-46EB-A95C-42552456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K.Whordley</cp:lastModifiedBy>
  <cp:revision>2</cp:revision>
  <cp:lastPrinted>2020-07-16T00:15:00Z</cp:lastPrinted>
  <dcterms:created xsi:type="dcterms:W3CDTF">2022-12-05T13:15:00Z</dcterms:created>
  <dcterms:modified xsi:type="dcterms:W3CDTF">2022-12-05T13:15:00Z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0x0101000D1954FBBD91514DA928F022EDDA9F84</vt:lpwstr>
  </property>
</Properties>
</file>