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A97" w:rsidRDefault="00DF0B83" w:rsidP="00FC2A97">
      <w:pPr>
        <w:jc w:val="center"/>
        <w:rPr>
          <w:b/>
          <w:sz w:val="32"/>
          <w:szCs w:val="32"/>
          <w:u w:val="single"/>
        </w:rPr>
      </w:pPr>
      <w:r w:rsidRPr="00C611A6">
        <w:rPr>
          <w:b/>
          <w:sz w:val="32"/>
          <w:szCs w:val="32"/>
          <w:u w:val="single"/>
        </w:rPr>
        <w:t xml:space="preserve">Narrative for </w:t>
      </w:r>
      <w:r w:rsidR="00062F9C">
        <w:rPr>
          <w:b/>
          <w:sz w:val="32"/>
          <w:szCs w:val="32"/>
          <w:u w:val="single"/>
        </w:rPr>
        <w:t>5</w:t>
      </w:r>
      <w:r w:rsidR="008F7E80">
        <w:rPr>
          <w:b/>
          <w:sz w:val="32"/>
          <w:szCs w:val="32"/>
          <w:u w:val="single"/>
        </w:rPr>
        <w:t xml:space="preserve"> year budget forecast r</w:t>
      </w:r>
      <w:r w:rsidRPr="00C611A6">
        <w:rPr>
          <w:b/>
          <w:sz w:val="32"/>
          <w:szCs w:val="32"/>
          <w:u w:val="single"/>
        </w:rPr>
        <w:t xml:space="preserve">eport </w:t>
      </w:r>
    </w:p>
    <w:p w:rsidR="007D044B" w:rsidRPr="00C611A6" w:rsidRDefault="007A7156" w:rsidP="007D044B">
      <w:pPr>
        <w:jc w:val="center"/>
        <w:rPr>
          <w:b/>
          <w:sz w:val="32"/>
          <w:szCs w:val="32"/>
          <w:u w:val="single"/>
        </w:rPr>
      </w:pPr>
      <w:r>
        <w:rPr>
          <w:b/>
          <w:sz w:val="32"/>
          <w:szCs w:val="32"/>
          <w:u w:val="single"/>
        </w:rPr>
        <w:t xml:space="preserve"> </w:t>
      </w:r>
      <w:r w:rsidR="002A4087">
        <w:rPr>
          <w:b/>
          <w:sz w:val="32"/>
          <w:szCs w:val="32"/>
          <w:u w:val="single"/>
        </w:rPr>
        <w:t>JAN 2019</w:t>
      </w:r>
    </w:p>
    <w:p w:rsidR="00DF0B83" w:rsidRDefault="00DF0B83"/>
    <w:p w:rsidR="008F7E80" w:rsidRDefault="008F7E80"/>
    <w:p w:rsidR="00A6079D" w:rsidRPr="00983DC8" w:rsidRDefault="00CC3AD7">
      <w:pPr>
        <w:rPr>
          <w:b/>
          <w:u w:val="single"/>
        </w:rPr>
      </w:pPr>
      <w:r w:rsidRPr="00983DC8">
        <w:rPr>
          <w:b/>
          <w:u w:val="single"/>
        </w:rPr>
        <w:t>General Comments</w:t>
      </w:r>
      <w:r w:rsidR="00A6079D" w:rsidRPr="00983DC8">
        <w:rPr>
          <w:b/>
          <w:u w:val="single"/>
        </w:rPr>
        <w:t xml:space="preserve"> </w:t>
      </w:r>
    </w:p>
    <w:p w:rsidR="00596B3F" w:rsidRDefault="00596B3F" w:rsidP="00596B3F"/>
    <w:p w:rsidR="00596B3F" w:rsidRDefault="00FA2BC7" w:rsidP="00596B3F">
      <w:r>
        <w:t>The report includes all pages of th</w:t>
      </w:r>
      <w:r w:rsidR="00BA4E3C">
        <w:t>e working document</w:t>
      </w:r>
      <w:r>
        <w:t>:</w:t>
      </w:r>
    </w:p>
    <w:p w:rsidR="00FA2BC7" w:rsidRDefault="00FA2BC7" w:rsidP="00596B3F"/>
    <w:p w:rsidR="00FA2BC7" w:rsidRDefault="00FA2BC7" w:rsidP="00FA2BC7">
      <w:pPr>
        <w:pStyle w:val="ListParagraph"/>
        <w:numPr>
          <w:ilvl w:val="0"/>
          <w:numId w:val="8"/>
        </w:numPr>
      </w:pPr>
      <w:r>
        <w:t xml:space="preserve">Summary – Headline figures </w:t>
      </w:r>
      <w:r w:rsidR="00435B19">
        <w:t xml:space="preserve">* </w:t>
      </w:r>
      <w:r w:rsidR="00435B19" w:rsidRPr="00435B19">
        <w:rPr>
          <w:sz w:val="20"/>
          <w:szCs w:val="20"/>
        </w:rPr>
        <w:t>Teacher numbers and KPI’s are now shown on this page</w:t>
      </w:r>
    </w:p>
    <w:p w:rsidR="00FA2BC7" w:rsidRDefault="00FA2BC7" w:rsidP="00FA2BC7">
      <w:pPr>
        <w:pStyle w:val="ListParagraph"/>
        <w:numPr>
          <w:ilvl w:val="0"/>
          <w:numId w:val="8"/>
        </w:numPr>
      </w:pPr>
      <w:r>
        <w:t>Income – Breakdown of all actual and forecast income</w:t>
      </w:r>
    </w:p>
    <w:p w:rsidR="00FA2BC7" w:rsidRDefault="00FA2BC7" w:rsidP="00FA2BC7">
      <w:pPr>
        <w:pStyle w:val="ListParagraph"/>
        <w:numPr>
          <w:ilvl w:val="0"/>
          <w:numId w:val="8"/>
        </w:numPr>
      </w:pPr>
      <w:r>
        <w:t>Expenditure - Breakdown of all actual and forecast income</w:t>
      </w:r>
    </w:p>
    <w:p w:rsidR="00FA2BC7" w:rsidRDefault="00FA2BC7" w:rsidP="00FA2BC7">
      <w:pPr>
        <w:pStyle w:val="ListParagraph"/>
        <w:numPr>
          <w:ilvl w:val="0"/>
          <w:numId w:val="8"/>
        </w:numPr>
      </w:pPr>
      <w:r>
        <w:t>Pupil Numbers – covers expected pupil numbers for the next 5 years</w:t>
      </w:r>
    </w:p>
    <w:p w:rsidR="000A757B" w:rsidRDefault="000A757B" w:rsidP="00596B3F"/>
    <w:p w:rsidR="00596B3F" w:rsidRDefault="00596B3F" w:rsidP="00596B3F">
      <w:r>
        <w:t>The following general conditions and assumptions have been used for this forecast:</w:t>
      </w:r>
    </w:p>
    <w:p w:rsidR="00596B3F" w:rsidRDefault="00596B3F" w:rsidP="00596B3F"/>
    <w:p w:rsidR="00240C26" w:rsidRDefault="008C2179" w:rsidP="00596B3F">
      <w:pPr>
        <w:pStyle w:val="ListParagraph"/>
        <w:numPr>
          <w:ilvl w:val="0"/>
          <w:numId w:val="4"/>
        </w:numPr>
      </w:pPr>
      <w:r>
        <w:t>I</w:t>
      </w:r>
      <w:r w:rsidR="00240C26">
        <w:t>nclude</w:t>
      </w:r>
      <w:r>
        <w:t>s</w:t>
      </w:r>
      <w:r w:rsidR="00240C26">
        <w:t xml:space="preserve"> the expected 19-20 Falling Rolls income of £75,970</w:t>
      </w:r>
    </w:p>
    <w:p w:rsidR="00596B3F" w:rsidRDefault="00596B3F" w:rsidP="00596B3F">
      <w:pPr>
        <w:pStyle w:val="ListParagraph"/>
        <w:numPr>
          <w:ilvl w:val="0"/>
          <w:numId w:val="4"/>
        </w:numPr>
      </w:pPr>
      <w:r>
        <w:t>Best estimate of cost increases across the years based on current information</w:t>
      </w:r>
    </w:p>
    <w:p w:rsidR="00A96390" w:rsidRDefault="00A96390" w:rsidP="00596B3F">
      <w:pPr>
        <w:pStyle w:val="ListParagraph"/>
        <w:numPr>
          <w:ilvl w:val="0"/>
          <w:numId w:val="4"/>
        </w:numPr>
      </w:pPr>
      <w:r>
        <w:t>Teachers pension increase costs (7% - £280k) are fully funded on an ongoing basis</w:t>
      </w:r>
    </w:p>
    <w:p w:rsidR="00FC2A97" w:rsidRPr="00A01218" w:rsidRDefault="00FC2A97"/>
    <w:p w:rsidR="00697747" w:rsidRPr="00697747" w:rsidRDefault="00697747">
      <w:pPr>
        <w:rPr>
          <w:b/>
          <w:u w:val="single"/>
        </w:rPr>
      </w:pPr>
      <w:r w:rsidRPr="00697747">
        <w:rPr>
          <w:b/>
          <w:u w:val="single"/>
        </w:rPr>
        <w:t>Income</w:t>
      </w:r>
    </w:p>
    <w:p w:rsidR="00697747" w:rsidRDefault="00697747"/>
    <w:p w:rsidR="009B7A94" w:rsidRDefault="00893CA2" w:rsidP="00E92B32">
      <w:r>
        <w:t>The following</w:t>
      </w:r>
      <w:r w:rsidR="00FF29B1">
        <w:t xml:space="preserve"> key conditions and assumptions </w:t>
      </w:r>
      <w:r w:rsidR="00676181">
        <w:t xml:space="preserve">have been </w:t>
      </w:r>
      <w:r w:rsidR="00FF29B1">
        <w:t>used for forecasting income</w:t>
      </w:r>
      <w:r w:rsidR="00E92B32">
        <w:t>.</w:t>
      </w:r>
    </w:p>
    <w:p w:rsidR="00596B3F" w:rsidRDefault="00596B3F" w:rsidP="009B7A94">
      <w:pPr>
        <w:pStyle w:val="ListParagraph"/>
      </w:pPr>
    </w:p>
    <w:p w:rsidR="00CD6F2F" w:rsidRDefault="00684633" w:rsidP="00596B3F">
      <w:pPr>
        <w:pStyle w:val="ListParagraph"/>
        <w:numPr>
          <w:ilvl w:val="0"/>
          <w:numId w:val="5"/>
        </w:numPr>
      </w:pPr>
      <w:r>
        <w:t xml:space="preserve">Year 7 intake </w:t>
      </w:r>
      <w:r w:rsidR="0028373D">
        <w:t>248</w:t>
      </w:r>
      <w:r w:rsidR="00062F9C">
        <w:t xml:space="preserve"> </w:t>
      </w:r>
      <w:r w:rsidR="00A96390">
        <w:t>for 2019/20 then 240 each year</w:t>
      </w:r>
    </w:p>
    <w:p w:rsidR="00A96390" w:rsidRDefault="00A96390" w:rsidP="00596B3F">
      <w:pPr>
        <w:pStyle w:val="ListParagraph"/>
        <w:numPr>
          <w:ilvl w:val="0"/>
          <w:numId w:val="5"/>
        </w:numPr>
      </w:pPr>
      <w:r>
        <w:t>Year 12 intake 190 for 2019/20 and 2020/21, then 160 each year</w:t>
      </w:r>
    </w:p>
    <w:p w:rsidR="0028373D" w:rsidRDefault="00352EF6" w:rsidP="0028373D">
      <w:pPr>
        <w:pStyle w:val="ListParagraph"/>
        <w:numPr>
          <w:ilvl w:val="0"/>
          <w:numId w:val="5"/>
        </w:numPr>
      </w:pPr>
      <w:r>
        <w:t>20</w:t>
      </w:r>
      <w:r w:rsidR="00240C26">
        <w:t>19-20 GAG income is based on the lik</w:t>
      </w:r>
      <w:r w:rsidR="0028373D">
        <w:t xml:space="preserve">ely AWPU agreed by schools forum and revised </w:t>
      </w:r>
      <w:r w:rsidR="00A96390">
        <w:t>information from ECC. B</w:t>
      </w:r>
      <w:r w:rsidR="0028373D">
        <w:t xml:space="preserve">ased on actual October 18 census numbers </w:t>
      </w:r>
    </w:p>
    <w:p w:rsidR="00A96390" w:rsidRDefault="00A96390" w:rsidP="0028373D">
      <w:pPr>
        <w:pStyle w:val="ListParagraph"/>
        <w:numPr>
          <w:ilvl w:val="0"/>
          <w:numId w:val="5"/>
        </w:numPr>
      </w:pPr>
      <w:r>
        <w:t>2019/20 MFG calculated using ECC examples and advice</w:t>
      </w:r>
    </w:p>
    <w:p w:rsidR="00A96390" w:rsidRDefault="00A96390" w:rsidP="0028373D">
      <w:pPr>
        <w:pStyle w:val="ListParagraph"/>
        <w:numPr>
          <w:ilvl w:val="0"/>
          <w:numId w:val="5"/>
        </w:numPr>
      </w:pPr>
      <w:r>
        <w:t>2020/21 MFG based on +0% per pupil assuming all AWPU and weightings remain the same</w:t>
      </w:r>
    </w:p>
    <w:p w:rsidR="00240C26" w:rsidRDefault="00240C26" w:rsidP="00596B3F">
      <w:pPr>
        <w:pStyle w:val="ListParagraph"/>
        <w:numPr>
          <w:ilvl w:val="0"/>
          <w:numId w:val="5"/>
        </w:numPr>
      </w:pPr>
      <w:r>
        <w:t>18-19 PP reduced in line with funding and future estimates reduced as a pre-caution</w:t>
      </w:r>
    </w:p>
    <w:p w:rsidR="00240C26" w:rsidRDefault="0028373D" w:rsidP="00596B3F">
      <w:pPr>
        <w:pStyle w:val="ListParagraph"/>
        <w:numPr>
          <w:ilvl w:val="0"/>
          <w:numId w:val="5"/>
        </w:numPr>
      </w:pPr>
      <w:r>
        <w:t>Teachers pay grant is included</w:t>
      </w:r>
    </w:p>
    <w:p w:rsidR="00CE0700" w:rsidRDefault="00352EF6" w:rsidP="00596B3F">
      <w:pPr>
        <w:pStyle w:val="ListParagraph"/>
        <w:numPr>
          <w:ilvl w:val="0"/>
          <w:numId w:val="5"/>
        </w:numPr>
      </w:pPr>
      <w:r>
        <w:t>Additional DFC is included at £60k</w:t>
      </w:r>
      <w:r w:rsidR="001141E0">
        <w:t xml:space="preserve"> (previously £45k)</w:t>
      </w:r>
    </w:p>
    <w:p w:rsidR="0028373D" w:rsidRDefault="00352EF6" w:rsidP="00596B3F">
      <w:pPr>
        <w:pStyle w:val="ListParagraph"/>
        <w:numPr>
          <w:ilvl w:val="0"/>
          <w:numId w:val="5"/>
        </w:numPr>
      </w:pPr>
      <w:r>
        <w:t>Expected a</w:t>
      </w:r>
      <w:r w:rsidR="0028373D">
        <w:t>pprenticeship levy and MEITT training grant (minus fee) are included in income</w:t>
      </w:r>
    </w:p>
    <w:p w:rsidR="00E92B32" w:rsidRDefault="00E92B32" w:rsidP="009B7A94">
      <w:pPr>
        <w:pStyle w:val="ListParagraph"/>
      </w:pPr>
    </w:p>
    <w:p w:rsidR="006375A5" w:rsidRDefault="006375A5" w:rsidP="009B7A94">
      <w:pPr>
        <w:rPr>
          <w:b/>
          <w:u w:val="single"/>
        </w:rPr>
      </w:pPr>
    </w:p>
    <w:p w:rsidR="001E088D" w:rsidRPr="009B7A94" w:rsidRDefault="001E088D" w:rsidP="009B7A94">
      <w:r w:rsidRPr="009B7A94">
        <w:rPr>
          <w:b/>
          <w:u w:val="single"/>
        </w:rPr>
        <w:t>Expenditure</w:t>
      </w:r>
    </w:p>
    <w:p w:rsidR="001E088D" w:rsidRDefault="001E088D"/>
    <w:p w:rsidR="001852BA" w:rsidRDefault="00893CA2" w:rsidP="001852BA">
      <w:r>
        <w:t xml:space="preserve">The following </w:t>
      </w:r>
      <w:r w:rsidR="001852BA">
        <w:t xml:space="preserve">key conditions and assumptions </w:t>
      </w:r>
      <w:r w:rsidR="00676181">
        <w:t xml:space="preserve">have been </w:t>
      </w:r>
      <w:r w:rsidR="001852BA">
        <w:t>u</w:t>
      </w:r>
      <w:r w:rsidR="00E92B32">
        <w:t>sed for forecasting expenditure.</w:t>
      </w:r>
    </w:p>
    <w:p w:rsidR="008516BB" w:rsidRDefault="008516BB" w:rsidP="001852BA"/>
    <w:p w:rsidR="00CD6F2F" w:rsidRDefault="00CD6F2F" w:rsidP="00596B3F">
      <w:pPr>
        <w:pStyle w:val="ListParagraph"/>
        <w:numPr>
          <w:ilvl w:val="0"/>
          <w:numId w:val="6"/>
        </w:numPr>
      </w:pPr>
      <w:r>
        <w:t xml:space="preserve">Latest predicted staffing model for 2018-19 </w:t>
      </w:r>
      <w:r w:rsidR="006C5D6B">
        <w:t xml:space="preserve">and 2019-20 </w:t>
      </w:r>
      <w:r>
        <w:t>has been used to calculate staffing costs</w:t>
      </w:r>
    </w:p>
    <w:p w:rsidR="00596B3F" w:rsidRDefault="006C5D6B" w:rsidP="00596B3F">
      <w:pPr>
        <w:pStyle w:val="ListParagraph"/>
        <w:numPr>
          <w:ilvl w:val="0"/>
          <w:numId w:val="6"/>
        </w:numPr>
      </w:pPr>
      <w:r>
        <w:t>20</w:t>
      </w:r>
      <w:r w:rsidR="007E7C83">
        <w:t>19-20 onwards, support staff pay rises forecast at 2%</w:t>
      </w:r>
    </w:p>
    <w:p w:rsidR="0028373D" w:rsidRDefault="006C5D6B" w:rsidP="0028373D">
      <w:pPr>
        <w:pStyle w:val="ListParagraph"/>
        <w:numPr>
          <w:ilvl w:val="0"/>
          <w:numId w:val="6"/>
        </w:numPr>
      </w:pPr>
      <w:r>
        <w:t>20</w:t>
      </w:r>
      <w:r w:rsidR="0028373D">
        <w:t>19-20 onwards, Te</w:t>
      </w:r>
      <w:r>
        <w:t>achers pay rises forecast at 2%</w:t>
      </w:r>
    </w:p>
    <w:p w:rsidR="007E7C83" w:rsidRDefault="007E7C83" w:rsidP="00596B3F">
      <w:pPr>
        <w:pStyle w:val="ListParagraph"/>
        <w:numPr>
          <w:ilvl w:val="0"/>
          <w:numId w:val="6"/>
        </w:numPr>
      </w:pPr>
      <w:r>
        <w:lastRenderedPageBreak/>
        <w:t>Astro sinking fund contributions re-distributed to allow total to be reached in an affordable way</w:t>
      </w:r>
    </w:p>
    <w:p w:rsidR="00CD6F2F" w:rsidRDefault="00CD6F2F" w:rsidP="009B7A94">
      <w:pPr>
        <w:pStyle w:val="ListParagraph"/>
        <w:ind w:left="0"/>
      </w:pPr>
    </w:p>
    <w:p w:rsidR="004D29F6" w:rsidRDefault="004D29F6" w:rsidP="009B7A94">
      <w:pPr>
        <w:pStyle w:val="ListParagraph"/>
        <w:ind w:left="0"/>
        <w:rPr>
          <w:b/>
          <w:u w:val="single"/>
        </w:rPr>
      </w:pPr>
      <w:r>
        <w:rPr>
          <w:b/>
          <w:u w:val="single"/>
        </w:rPr>
        <w:t>Comparison to previous forecast</w:t>
      </w:r>
    </w:p>
    <w:p w:rsidR="004D29F6" w:rsidRDefault="004D29F6" w:rsidP="009B7A94">
      <w:pPr>
        <w:pStyle w:val="ListParagraph"/>
        <w:ind w:left="0"/>
        <w:rPr>
          <w:b/>
          <w:u w:val="single"/>
        </w:rPr>
      </w:pPr>
    </w:p>
    <w:p w:rsidR="004D29F6" w:rsidRPr="004D29F6" w:rsidRDefault="004D29F6" w:rsidP="009B7A94">
      <w:pPr>
        <w:pStyle w:val="ListParagraph"/>
        <w:ind w:left="0"/>
      </w:pPr>
      <w:r>
        <w:t>The tables below show the main forecast changes to income and expenditure between this report and the previously presented one in Nov 2018.</w:t>
      </w:r>
    </w:p>
    <w:p w:rsidR="004D29F6" w:rsidRDefault="004D29F6" w:rsidP="004D29F6"/>
    <w:p w:rsidR="004D29F6" w:rsidRPr="004D29F6" w:rsidRDefault="004D29F6" w:rsidP="004D29F6">
      <w:pPr>
        <w:rPr>
          <w:u w:val="single"/>
        </w:rPr>
      </w:pPr>
      <w:r w:rsidRPr="004D29F6">
        <w:rPr>
          <w:u w:val="single"/>
        </w:rPr>
        <w:t>Income</w:t>
      </w:r>
    </w:p>
    <w:tbl>
      <w:tblPr>
        <w:tblStyle w:val="TableGrid"/>
        <w:tblW w:w="0" w:type="auto"/>
        <w:tblLook w:val="04A0" w:firstRow="1" w:lastRow="0" w:firstColumn="1" w:lastColumn="0" w:noHBand="0" w:noVBand="1"/>
      </w:tblPr>
      <w:tblGrid>
        <w:gridCol w:w="1413"/>
        <w:gridCol w:w="1417"/>
        <w:gridCol w:w="6186"/>
      </w:tblGrid>
      <w:tr w:rsidR="00884343" w:rsidTr="0077721C">
        <w:tc>
          <w:tcPr>
            <w:tcW w:w="1413" w:type="dxa"/>
          </w:tcPr>
          <w:p w:rsidR="00884343" w:rsidRDefault="00884343" w:rsidP="00884343">
            <w:pPr>
              <w:jc w:val="center"/>
            </w:pPr>
            <w:r>
              <w:t>Year</w:t>
            </w:r>
          </w:p>
        </w:tc>
        <w:tc>
          <w:tcPr>
            <w:tcW w:w="1417" w:type="dxa"/>
          </w:tcPr>
          <w:p w:rsidR="00884343" w:rsidRDefault="00884343" w:rsidP="00884343">
            <w:pPr>
              <w:jc w:val="center"/>
            </w:pPr>
            <w:r>
              <w:t>Variance</w:t>
            </w:r>
          </w:p>
        </w:tc>
        <w:tc>
          <w:tcPr>
            <w:tcW w:w="6186" w:type="dxa"/>
          </w:tcPr>
          <w:p w:rsidR="00884343" w:rsidRDefault="00884343" w:rsidP="00884343">
            <w:pPr>
              <w:jc w:val="center"/>
            </w:pPr>
            <w:r>
              <w:t>Main changes contributing</w:t>
            </w:r>
          </w:p>
        </w:tc>
      </w:tr>
      <w:tr w:rsidR="004D29F6" w:rsidTr="0077721C">
        <w:tc>
          <w:tcPr>
            <w:tcW w:w="1413" w:type="dxa"/>
          </w:tcPr>
          <w:p w:rsidR="004D29F6" w:rsidRDefault="006A5402" w:rsidP="004D29F6">
            <w:r>
              <w:t>2018/19</w:t>
            </w:r>
          </w:p>
        </w:tc>
        <w:tc>
          <w:tcPr>
            <w:tcW w:w="1417" w:type="dxa"/>
          </w:tcPr>
          <w:p w:rsidR="004D29F6" w:rsidRDefault="0077721C" w:rsidP="004D29F6">
            <w:r>
              <w:t>+£32,000</w:t>
            </w:r>
          </w:p>
        </w:tc>
        <w:tc>
          <w:tcPr>
            <w:tcW w:w="6186" w:type="dxa"/>
          </w:tcPr>
          <w:p w:rsidR="004D29F6" w:rsidRDefault="00DB20D8" w:rsidP="004D29F6">
            <w:r>
              <w:t xml:space="preserve">+£15k additional CIF, +£15k Havering SEN </w:t>
            </w:r>
          </w:p>
        </w:tc>
      </w:tr>
      <w:tr w:rsidR="004D29F6" w:rsidTr="0077721C">
        <w:tc>
          <w:tcPr>
            <w:tcW w:w="1413" w:type="dxa"/>
          </w:tcPr>
          <w:p w:rsidR="004D29F6" w:rsidRDefault="006A5402" w:rsidP="004D29F6">
            <w:r>
              <w:t>2019/20</w:t>
            </w:r>
          </w:p>
        </w:tc>
        <w:tc>
          <w:tcPr>
            <w:tcW w:w="1417" w:type="dxa"/>
          </w:tcPr>
          <w:p w:rsidR="004D29F6" w:rsidRDefault="0077721C" w:rsidP="004D29F6">
            <w:r>
              <w:t>+£1,000</w:t>
            </w:r>
          </w:p>
        </w:tc>
        <w:tc>
          <w:tcPr>
            <w:tcW w:w="6186" w:type="dxa"/>
          </w:tcPr>
          <w:p w:rsidR="004D29F6" w:rsidRDefault="00DB20D8" w:rsidP="004D29F6">
            <w:r>
              <w:t>-£22k GAG, +£15k forecast 6</w:t>
            </w:r>
            <w:r w:rsidRPr="00DB20D8">
              <w:rPr>
                <w:vertAlign w:val="superscript"/>
              </w:rPr>
              <w:t>th</w:t>
            </w:r>
            <w:r>
              <w:t xml:space="preserve"> form funding</w:t>
            </w:r>
          </w:p>
        </w:tc>
      </w:tr>
      <w:tr w:rsidR="004D29F6" w:rsidTr="0077721C">
        <w:tc>
          <w:tcPr>
            <w:tcW w:w="1413" w:type="dxa"/>
          </w:tcPr>
          <w:p w:rsidR="004D29F6" w:rsidRDefault="006A5402" w:rsidP="004D29F6">
            <w:r>
              <w:t>2020/21</w:t>
            </w:r>
          </w:p>
        </w:tc>
        <w:tc>
          <w:tcPr>
            <w:tcW w:w="1417" w:type="dxa"/>
          </w:tcPr>
          <w:p w:rsidR="004D29F6" w:rsidRDefault="0077721C" w:rsidP="004D29F6">
            <w:r>
              <w:t>(£33,000)</w:t>
            </w:r>
          </w:p>
        </w:tc>
        <w:tc>
          <w:tcPr>
            <w:tcW w:w="6186" w:type="dxa"/>
          </w:tcPr>
          <w:p w:rsidR="004D29F6" w:rsidRDefault="00DB20D8" w:rsidP="004D29F6">
            <w:r>
              <w:t>-£38k GAG (reduced yr 7 intake and ECC funding formula)</w:t>
            </w:r>
          </w:p>
        </w:tc>
      </w:tr>
      <w:tr w:rsidR="004D29F6" w:rsidTr="0077721C">
        <w:tc>
          <w:tcPr>
            <w:tcW w:w="1413" w:type="dxa"/>
          </w:tcPr>
          <w:p w:rsidR="004D29F6" w:rsidRDefault="006A5402" w:rsidP="004D29F6">
            <w:r>
              <w:t>2021/22</w:t>
            </w:r>
          </w:p>
        </w:tc>
        <w:tc>
          <w:tcPr>
            <w:tcW w:w="1417" w:type="dxa"/>
          </w:tcPr>
          <w:p w:rsidR="004D29F6" w:rsidRDefault="0077721C" w:rsidP="004D29F6">
            <w:r>
              <w:t>(£172,851)</w:t>
            </w:r>
          </w:p>
        </w:tc>
        <w:tc>
          <w:tcPr>
            <w:tcW w:w="6186" w:type="dxa"/>
          </w:tcPr>
          <w:p w:rsidR="004D29F6" w:rsidRDefault="00DB20D8" w:rsidP="004D29F6">
            <w:r>
              <w:t>Reduced year 7-13 numbers as per</w:t>
            </w:r>
            <w:r w:rsidR="001B3ED1">
              <w:t xml:space="preserve"> strategy</w:t>
            </w:r>
            <w:r>
              <w:t xml:space="preserve"> forecast</w:t>
            </w:r>
          </w:p>
        </w:tc>
      </w:tr>
      <w:tr w:rsidR="00DB20D8" w:rsidTr="0077721C">
        <w:tc>
          <w:tcPr>
            <w:tcW w:w="1413" w:type="dxa"/>
          </w:tcPr>
          <w:p w:rsidR="00DB20D8" w:rsidRDefault="00DB20D8" w:rsidP="00DB20D8">
            <w:r>
              <w:t>2022/23</w:t>
            </w:r>
          </w:p>
        </w:tc>
        <w:tc>
          <w:tcPr>
            <w:tcW w:w="1417" w:type="dxa"/>
          </w:tcPr>
          <w:p w:rsidR="00DB20D8" w:rsidRDefault="00DB20D8" w:rsidP="00DB20D8">
            <w:r>
              <w:t>(£209,950)</w:t>
            </w:r>
          </w:p>
        </w:tc>
        <w:tc>
          <w:tcPr>
            <w:tcW w:w="6186" w:type="dxa"/>
          </w:tcPr>
          <w:p w:rsidR="00DB20D8" w:rsidRDefault="00DB20D8" w:rsidP="00DB20D8">
            <w:r>
              <w:t xml:space="preserve">Reduced year 7-13 numbers as per </w:t>
            </w:r>
            <w:r w:rsidR="001B3ED1">
              <w:t xml:space="preserve">strategy </w:t>
            </w:r>
            <w:r>
              <w:t>forecast</w:t>
            </w:r>
          </w:p>
        </w:tc>
      </w:tr>
    </w:tbl>
    <w:p w:rsidR="004D29F6" w:rsidRDefault="004D29F6" w:rsidP="004D29F6"/>
    <w:p w:rsidR="004D29F6" w:rsidRPr="004D29F6" w:rsidRDefault="004D29F6" w:rsidP="004D29F6">
      <w:pPr>
        <w:rPr>
          <w:u w:val="single"/>
        </w:rPr>
      </w:pPr>
      <w:r w:rsidRPr="004D29F6">
        <w:rPr>
          <w:u w:val="single"/>
        </w:rPr>
        <w:t>Expenditure</w:t>
      </w:r>
    </w:p>
    <w:tbl>
      <w:tblPr>
        <w:tblStyle w:val="TableGrid"/>
        <w:tblW w:w="9067" w:type="dxa"/>
        <w:tblLook w:val="04A0" w:firstRow="1" w:lastRow="0" w:firstColumn="1" w:lastColumn="0" w:noHBand="0" w:noVBand="1"/>
      </w:tblPr>
      <w:tblGrid>
        <w:gridCol w:w="1413"/>
        <w:gridCol w:w="1417"/>
        <w:gridCol w:w="6237"/>
      </w:tblGrid>
      <w:tr w:rsidR="00884343" w:rsidTr="0077721C">
        <w:tc>
          <w:tcPr>
            <w:tcW w:w="1413" w:type="dxa"/>
          </w:tcPr>
          <w:p w:rsidR="00884343" w:rsidRDefault="00884343" w:rsidP="00884343">
            <w:pPr>
              <w:jc w:val="center"/>
            </w:pPr>
            <w:r>
              <w:t>Year</w:t>
            </w:r>
          </w:p>
        </w:tc>
        <w:tc>
          <w:tcPr>
            <w:tcW w:w="1417" w:type="dxa"/>
          </w:tcPr>
          <w:p w:rsidR="00884343" w:rsidRDefault="00884343" w:rsidP="00884343">
            <w:pPr>
              <w:jc w:val="center"/>
            </w:pPr>
            <w:r>
              <w:t>Variance</w:t>
            </w:r>
          </w:p>
        </w:tc>
        <w:tc>
          <w:tcPr>
            <w:tcW w:w="6237" w:type="dxa"/>
          </w:tcPr>
          <w:p w:rsidR="00884343" w:rsidRDefault="00884343" w:rsidP="00884343">
            <w:pPr>
              <w:jc w:val="center"/>
            </w:pPr>
            <w:r>
              <w:t>Main changes contributing</w:t>
            </w:r>
          </w:p>
        </w:tc>
      </w:tr>
      <w:tr w:rsidR="0077721C" w:rsidTr="0077721C">
        <w:tc>
          <w:tcPr>
            <w:tcW w:w="1413" w:type="dxa"/>
          </w:tcPr>
          <w:p w:rsidR="0077721C" w:rsidRDefault="0077721C" w:rsidP="004D29F6">
            <w:r>
              <w:t>2018/19</w:t>
            </w:r>
          </w:p>
        </w:tc>
        <w:tc>
          <w:tcPr>
            <w:tcW w:w="1417" w:type="dxa"/>
          </w:tcPr>
          <w:p w:rsidR="0077721C" w:rsidRDefault="003B0E9A" w:rsidP="004D29F6">
            <w:r>
              <w:t>+£32,000</w:t>
            </w:r>
          </w:p>
        </w:tc>
        <w:tc>
          <w:tcPr>
            <w:tcW w:w="6237" w:type="dxa"/>
          </w:tcPr>
          <w:p w:rsidR="0077721C" w:rsidRDefault="006334F6" w:rsidP="004D29F6">
            <w:r>
              <w:t>+£5k salaries, +£7.5k supply, +£35k exclusions</w:t>
            </w:r>
          </w:p>
        </w:tc>
      </w:tr>
      <w:tr w:rsidR="0077721C" w:rsidTr="0077721C">
        <w:tc>
          <w:tcPr>
            <w:tcW w:w="1413" w:type="dxa"/>
          </w:tcPr>
          <w:p w:rsidR="0077721C" w:rsidRDefault="0077721C" w:rsidP="004D29F6">
            <w:r>
              <w:t>2019/20</w:t>
            </w:r>
          </w:p>
        </w:tc>
        <w:tc>
          <w:tcPr>
            <w:tcW w:w="1417" w:type="dxa"/>
          </w:tcPr>
          <w:p w:rsidR="0077721C" w:rsidRDefault="003B0E9A" w:rsidP="004D29F6">
            <w:r>
              <w:t>+£25,000</w:t>
            </w:r>
          </w:p>
        </w:tc>
        <w:tc>
          <w:tcPr>
            <w:tcW w:w="6237" w:type="dxa"/>
          </w:tcPr>
          <w:p w:rsidR="0077721C" w:rsidRDefault="006334F6" w:rsidP="004D29F6">
            <w:r>
              <w:t>+£27k salaries (1 new teacher due to numbers)</w:t>
            </w:r>
          </w:p>
        </w:tc>
      </w:tr>
      <w:tr w:rsidR="0077721C" w:rsidTr="0077721C">
        <w:tc>
          <w:tcPr>
            <w:tcW w:w="1413" w:type="dxa"/>
          </w:tcPr>
          <w:p w:rsidR="0077721C" w:rsidRDefault="0077721C" w:rsidP="004D29F6">
            <w:r>
              <w:t>2020/21</w:t>
            </w:r>
          </w:p>
        </w:tc>
        <w:tc>
          <w:tcPr>
            <w:tcW w:w="1417" w:type="dxa"/>
          </w:tcPr>
          <w:p w:rsidR="0077721C" w:rsidRDefault="003B0E9A" w:rsidP="004D29F6">
            <w:r>
              <w:t>+£21,000</w:t>
            </w:r>
          </w:p>
        </w:tc>
        <w:tc>
          <w:tcPr>
            <w:tcW w:w="6237" w:type="dxa"/>
          </w:tcPr>
          <w:p w:rsidR="0077721C" w:rsidRDefault="006334F6" w:rsidP="004D29F6">
            <w:r>
              <w:t>+£20k salaries</w:t>
            </w:r>
          </w:p>
        </w:tc>
      </w:tr>
      <w:tr w:rsidR="0077721C" w:rsidTr="0077721C">
        <w:tc>
          <w:tcPr>
            <w:tcW w:w="1413" w:type="dxa"/>
          </w:tcPr>
          <w:p w:rsidR="0077721C" w:rsidRDefault="0077721C" w:rsidP="004D29F6">
            <w:r>
              <w:t>2021/22</w:t>
            </w:r>
          </w:p>
        </w:tc>
        <w:tc>
          <w:tcPr>
            <w:tcW w:w="1417" w:type="dxa"/>
          </w:tcPr>
          <w:p w:rsidR="0077721C" w:rsidRDefault="003B0E9A" w:rsidP="004D29F6">
            <w:r>
              <w:t>+£30,000</w:t>
            </w:r>
          </w:p>
        </w:tc>
        <w:tc>
          <w:tcPr>
            <w:tcW w:w="6237" w:type="dxa"/>
          </w:tcPr>
          <w:p w:rsidR="0077721C" w:rsidRDefault="006334F6" w:rsidP="004D29F6">
            <w:r>
              <w:t>+£24k salaries</w:t>
            </w:r>
          </w:p>
        </w:tc>
      </w:tr>
      <w:tr w:rsidR="0077721C" w:rsidTr="0077721C">
        <w:tc>
          <w:tcPr>
            <w:tcW w:w="1413" w:type="dxa"/>
          </w:tcPr>
          <w:p w:rsidR="0077721C" w:rsidRDefault="0077721C" w:rsidP="004D29F6">
            <w:r>
              <w:t>2022/23</w:t>
            </w:r>
          </w:p>
        </w:tc>
        <w:tc>
          <w:tcPr>
            <w:tcW w:w="1417" w:type="dxa"/>
          </w:tcPr>
          <w:p w:rsidR="0077721C" w:rsidRDefault="003B0E9A" w:rsidP="004D29F6">
            <w:r>
              <w:t>+£34,000</w:t>
            </w:r>
          </w:p>
        </w:tc>
        <w:tc>
          <w:tcPr>
            <w:tcW w:w="6237" w:type="dxa"/>
          </w:tcPr>
          <w:p w:rsidR="0077721C" w:rsidRDefault="006334F6" w:rsidP="004D29F6">
            <w:r>
              <w:t>+£28k salaries</w:t>
            </w:r>
          </w:p>
        </w:tc>
      </w:tr>
    </w:tbl>
    <w:p w:rsidR="004D29F6" w:rsidRPr="004D29F6" w:rsidRDefault="004D29F6" w:rsidP="004D29F6"/>
    <w:p w:rsidR="004D29F6" w:rsidRPr="004D29F6" w:rsidRDefault="004D29F6" w:rsidP="009B7A94">
      <w:pPr>
        <w:pStyle w:val="ListParagraph"/>
        <w:ind w:left="0"/>
        <w:rPr>
          <w:u w:val="single"/>
        </w:rPr>
      </w:pPr>
      <w:r w:rsidRPr="004D29F6">
        <w:rPr>
          <w:u w:val="single"/>
        </w:rPr>
        <w:t>Carryforward</w:t>
      </w:r>
    </w:p>
    <w:tbl>
      <w:tblPr>
        <w:tblStyle w:val="TableGrid"/>
        <w:tblW w:w="0" w:type="auto"/>
        <w:tblLook w:val="04A0" w:firstRow="1" w:lastRow="0" w:firstColumn="1" w:lastColumn="0" w:noHBand="0" w:noVBand="1"/>
      </w:tblPr>
      <w:tblGrid>
        <w:gridCol w:w="1413"/>
        <w:gridCol w:w="1417"/>
        <w:gridCol w:w="6186"/>
      </w:tblGrid>
      <w:tr w:rsidR="00884343" w:rsidRPr="00884343" w:rsidTr="0077721C">
        <w:tc>
          <w:tcPr>
            <w:tcW w:w="1413" w:type="dxa"/>
          </w:tcPr>
          <w:p w:rsidR="00884343" w:rsidRPr="00884343" w:rsidRDefault="00884343" w:rsidP="00884343">
            <w:pPr>
              <w:pStyle w:val="ListParagraph"/>
              <w:ind w:left="0"/>
              <w:jc w:val="center"/>
            </w:pPr>
            <w:r w:rsidRPr="00884343">
              <w:t>Year</w:t>
            </w:r>
          </w:p>
        </w:tc>
        <w:tc>
          <w:tcPr>
            <w:tcW w:w="1417" w:type="dxa"/>
          </w:tcPr>
          <w:p w:rsidR="00884343" w:rsidRPr="00884343" w:rsidRDefault="00884343" w:rsidP="00884343">
            <w:pPr>
              <w:pStyle w:val="ListParagraph"/>
              <w:ind w:left="0"/>
              <w:jc w:val="center"/>
            </w:pPr>
            <w:r w:rsidRPr="00884343">
              <w:t>Variance</w:t>
            </w:r>
          </w:p>
        </w:tc>
        <w:tc>
          <w:tcPr>
            <w:tcW w:w="6186" w:type="dxa"/>
          </w:tcPr>
          <w:p w:rsidR="00884343" w:rsidRPr="00884343" w:rsidRDefault="00884343" w:rsidP="00884343">
            <w:pPr>
              <w:pStyle w:val="ListParagraph"/>
              <w:ind w:left="0"/>
              <w:jc w:val="center"/>
            </w:pPr>
            <w:r w:rsidRPr="00884343">
              <w:t>Main changes contributing</w:t>
            </w:r>
          </w:p>
        </w:tc>
      </w:tr>
      <w:tr w:rsidR="004D29F6" w:rsidTr="0077721C">
        <w:tc>
          <w:tcPr>
            <w:tcW w:w="1413" w:type="dxa"/>
          </w:tcPr>
          <w:p w:rsidR="004D29F6" w:rsidRPr="006A5402" w:rsidRDefault="006A5402" w:rsidP="009B7A94">
            <w:pPr>
              <w:pStyle w:val="ListParagraph"/>
              <w:ind w:left="0"/>
            </w:pPr>
            <w:r>
              <w:t>2018/19</w:t>
            </w:r>
          </w:p>
        </w:tc>
        <w:tc>
          <w:tcPr>
            <w:tcW w:w="1417" w:type="dxa"/>
          </w:tcPr>
          <w:p w:rsidR="004D29F6" w:rsidRPr="007A2723" w:rsidRDefault="007A2723" w:rsidP="009B7A94">
            <w:pPr>
              <w:pStyle w:val="ListParagraph"/>
              <w:ind w:left="0"/>
            </w:pPr>
            <w:r w:rsidRPr="007A2723">
              <w:t>+</w:t>
            </w:r>
            <w:r>
              <w:t>£</w:t>
            </w:r>
            <w:r w:rsidRPr="007A2723">
              <w:t>21k</w:t>
            </w:r>
          </w:p>
        </w:tc>
        <w:tc>
          <w:tcPr>
            <w:tcW w:w="6186" w:type="dxa"/>
          </w:tcPr>
          <w:p w:rsidR="004D29F6" w:rsidRPr="007A2723" w:rsidRDefault="007A2723" w:rsidP="007A2723">
            <w:pPr>
              <w:pStyle w:val="ListParagraph"/>
              <w:ind w:left="0"/>
            </w:pPr>
            <w:r>
              <w:t>Expected in year changes</w:t>
            </w:r>
          </w:p>
        </w:tc>
      </w:tr>
      <w:tr w:rsidR="004D29F6" w:rsidTr="0077721C">
        <w:tc>
          <w:tcPr>
            <w:tcW w:w="1413" w:type="dxa"/>
          </w:tcPr>
          <w:p w:rsidR="004D29F6" w:rsidRPr="006A5402" w:rsidRDefault="006A5402" w:rsidP="009B7A94">
            <w:pPr>
              <w:pStyle w:val="ListParagraph"/>
              <w:ind w:left="0"/>
            </w:pPr>
            <w:r>
              <w:t>2019/20</w:t>
            </w:r>
          </w:p>
        </w:tc>
        <w:tc>
          <w:tcPr>
            <w:tcW w:w="1417" w:type="dxa"/>
          </w:tcPr>
          <w:p w:rsidR="004D29F6" w:rsidRPr="007A2723" w:rsidRDefault="007A2723" w:rsidP="009B7A94">
            <w:pPr>
              <w:pStyle w:val="ListParagraph"/>
              <w:ind w:left="0"/>
            </w:pPr>
            <w:r>
              <w:t>-£3k</w:t>
            </w:r>
          </w:p>
        </w:tc>
        <w:tc>
          <w:tcPr>
            <w:tcW w:w="6186" w:type="dxa"/>
          </w:tcPr>
          <w:p w:rsidR="004D29F6" w:rsidRPr="007A2723" w:rsidRDefault="007A2723" w:rsidP="009B7A94">
            <w:pPr>
              <w:pStyle w:val="ListParagraph"/>
              <w:ind w:left="0"/>
            </w:pPr>
            <w:r>
              <w:t>Expected in year changes</w:t>
            </w:r>
          </w:p>
        </w:tc>
      </w:tr>
      <w:tr w:rsidR="004D29F6" w:rsidTr="0077721C">
        <w:tc>
          <w:tcPr>
            <w:tcW w:w="1413" w:type="dxa"/>
          </w:tcPr>
          <w:p w:rsidR="004D29F6" w:rsidRPr="006A5402" w:rsidRDefault="006A5402" w:rsidP="009B7A94">
            <w:pPr>
              <w:pStyle w:val="ListParagraph"/>
              <w:ind w:left="0"/>
            </w:pPr>
            <w:r>
              <w:t>2020/21</w:t>
            </w:r>
          </w:p>
        </w:tc>
        <w:tc>
          <w:tcPr>
            <w:tcW w:w="1417" w:type="dxa"/>
          </w:tcPr>
          <w:p w:rsidR="004D29F6" w:rsidRPr="007A2723" w:rsidRDefault="007A2723" w:rsidP="009B7A94">
            <w:pPr>
              <w:pStyle w:val="ListParagraph"/>
              <w:ind w:left="0"/>
            </w:pPr>
            <w:r>
              <w:t>-£58k</w:t>
            </w:r>
          </w:p>
        </w:tc>
        <w:tc>
          <w:tcPr>
            <w:tcW w:w="6186" w:type="dxa"/>
          </w:tcPr>
          <w:p w:rsidR="004D29F6" w:rsidRPr="007A2723" w:rsidRDefault="007A2723" w:rsidP="009B7A94">
            <w:pPr>
              <w:pStyle w:val="ListParagraph"/>
              <w:ind w:left="0"/>
            </w:pPr>
            <w:r>
              <w:t>Reduced pupil numbers and increased expenditure</w:t>
            </w:r>
          </w:p>
        </w:tc>
      </w:tr>
      <w:tr w:rsidR="004D29F6" w:rsidTr="0077721C">
        <w:tc>
          <w:tcPr>
            <w:tcW w:w="1413" w:type="dxa"/>
          </w:tcPr>
          <w:p w:rsidR="004D29F6" w:rsidRPr="006A5402" w:rsidRDefault="006A5402" w:rsidP="009B7A94">
            <w:pPr>
              <w:pStyle w:val="ListParagraph"/>
              <w:ind w:left="0"/>
            </w:pPr>
            <w:r>
              <w:t>2021/22</w:t>
            </w:r>
          </w:p>
        </w:tc>
        <w:tc>
          <w:tcPr>
            <w:tcW w:w="1417" w:type="dxa"/>
          </w:tcPr>
          <w:p w:rsidR="004D29F6" w:rsidRPr="007A2723" w:rsidRDefault="007A2723" w:rsidP="009B7A94">
            <w:pPr>
              <w:pStyle w:val="ListParagraph"/>
              <w:ind w:left="0"/>
            </w:pPr>
            <w:r>
              <w:t>-£261k</w:t>
            </w:r>
          </w:p>
        </w:tc>
        <w:tc>
          <w:tcPr>
            <w:tcW w:w="6186" w:type="dxa"/>
          </w:tcPr>
          <w:p w:rsidR="004D29F6" w:rsidRPr="007A2723" w:rsidRDefault="007A2723" w:rsidP="009B7A94">
            <w:pPr>
              <w:pStyle w:val="ListParagraph"/>
              <w:ind w:left="0"/>
            </w:pPr>
            <w:r>
              <w:t>Reduced pupil numbers and increased expenditure</w:t>
            </w:r>
          </w:p>
        </w:tc>
      </w:tr>
      <w:tr w:rsidR="004D29F6" w:rsidTr="0077721C">
        <w:tc>
          <w:tcPr>
            <w:tcW w:w="1413" w:type="dxa"/>
          </w:tcPr>
          <w:p w:rsidR="004D29F6" w:rsidRPr="006A5402" w:rsidRDefault="006A5402" w:rsidP="009B7A94">
            <w:pPr>
              <w:pStyle w:val="ListParagraph"/>
              <w:ind w:left="0"/>
            </w:pPr>
            <w:r>
              <w:t>2022/23</w:t>
            </w:r>
          </w:p>
        </w:tc>
        <w:tc>
          <w:tcPr>
            <w:tcW w:w="1417" w:type="dxa"/>
          </w:tcPr>
          <w:p w:rsidR="004D29F6" w:rsidRPr="007A2723" w:rsidRDefault="007A2723" w:rsidP="009B7A94">
            <w:pPr>
              <w:pStyle w:val="ListParagraph"/>
              <w:ind w:left="0"/>
            </w:pPr>
            <w:r>
              <w:t>-£506k</w:t>
            </w:r>
          </w:p>
        </w:tc>
        <w:tc>
          <w:tcPr>
            <w:tcW w:w="6186" w:type="dxa"/>
          </w:tcPr>
          <w:p w:rsidR="004D29F6" w:rsidRPr="007A2723" w:rsidRDefault="007A2723" w:rsidP="009B7A94">
            <w:pPr>
              <w:pStyle w:val="ListParagraph"/>
              <w:ind w:left="0"/>
            </w:pPr>
            <w:r>
              <w:t>Reduced pupil numbers and increased expenditure</w:t>
            </w:r>
          </w:p>
        </w:tc>
      </w:tr>
    </w:tbl>
    <w:p w:rsidR="004D29F6" w:rsidRPr="007A2723" w:rsidRDefault="007A2723" w:rsidP="007A2723">
      <w:r>
        <w:t>* pupil numbers for 2020 onwards have been adjusted in line with the growth and capacity management strategy now it has been agreed. They were elevated beyond our capacity and are now realistic future estimates.</w:t>
      </w:r>
    </w:p>
    <w:p w:rsidR="004D29F6" w:rsidRDefault="004D29F6" w:rsidP="009B7A94">
      <w:pPr>
        <w:pStyle w:val="ListParagraph"/>
        <w:ind w:left="0"/>
        <w:rPr>
          <w:b/>
          <w:u w:val="single"/>
        </w:rPr>
      </w:pPr>
    </w:p>
    <w:p w:rsidR="009B7A94" w:rsidRPr="009B7A94" w:rsidRDefault="009B7A94" w:rsidP="009B7A94">
      <w:pPr>
        <w:pStyle w:val="ListParagraph"/>
        <w:ind w:left="0"/>
        <w:rPr>
          <w:b/>
          <w:u w:val="single"/>
        </w:rPr>
      </w:pPr>
      <w:r w:rsidRPr="009B7A94">
        <w:rPr>
          <w:b/>
          <w:u w:val="single"/>
        </w:rPr>
        <w:t>Other Factors</w:t>
      </w:r>
    </w:p>
    <w:p w:rsidR="009B7A94" w:rsidRDefault="009B7A94" w:rsidP="009B7A94">
      <w:pPr>
        <w:pStyle w:val="ListParagraph"/>
        <w:ind w:left="0"/>
      </w:pPr>
    </w:p>
    <w:p w:rsidR="001305A5" w:rsidRDefault="001305A5" w:rsidP="009B7A94">
      <w:pPr>
        <w:pStyle w:val="ListParagraph"/>
        <w:numPr>
          <w:ilvl w:val="0"/>
          <w:numId w:val="7"/>
        </w:numPr>
      </w:pPr>
      <w:r>
        <w:t>We must report to the schools forum each year to receive the falling rolls allocation. 2018-19 allocation evidence has been submitted</w:t>
      </w:r>
      <w:r w:rsidR="007E7C83">
        <w:t>,</w:t>
      </w:r>
      <w:r>
        <w:t xml:space="preserve"> but the £75,000 for 2019-20 will need to be evidenced and agreed.</w:t>
      </w:r>
    </w:p>
    <w:p w:rsidR="009B7A94" w:rsidRDefault="007E7C83" w:rsidP="009B7A94">
      <w:pPr>
        <w:pStyle w:val="ListParagraph"/>
        <w:numPr>
          <w:ilvl w:val="0"/>
          <w:numId w:val="7"/>
        </w:numPr>
      </w:pPr>
      <w:r>
        <w:t xml:space="preserve">Teachers pension costs are supposed to be </w:t>
      </w:r>
      <w:r w:rsidR="007A2723">
        <w:t xml:space="preserve">fully </w:t>
      </w:r>
      <w:r>
        <w:t xml:space="preserve">funded for 2019-20 but </w:t>
      </w:r>
      <w:r w:rsidR="007A2723">
        <w:t>no guarantees beyond that</w:t>
      </w:r>
    </w:p>
    <w:p w:rsidR="007A2723" w:rsidRDefault="007A2723" w:rsidP="009B7A94">
      <w:pPr>
        <w:pStyle w:val="ListParagraph"/>
        <w:numPr>
          <w:ilvl w:val="0"/>
          <w:numId w:val="7"/>
        </w:numPr>
      </w:pPr>
      <w:r>
        <w:t>ECC &amp; Schools Forum could agree +0.5% MFG of minimum £4,800 per pupil funding for 2020-21</w:t>
      </w:r>
    </w:p>
    <w:p w:rsidR="007A2723" w:rsidRDefault="007A2723" w:rsidP="009B7A94">
      <w:pPr>
        <w:pStyle w:val="ListParagraph"/>
        <w:numPr>
          <w:ilvl w:val="0"/>
          <w:numId w:val="7"/>
        </w:numPr>
      </w:pPr>
      <w:r>
        <w:t>Staffing may need to increase again in 2020 or 2021</w:t>
      </w:r>
    </w:p>
    <w:p w:rsidR="007A2723" w:rsidRDefault="00FA6D89" w:rsidP="009B7A94">
      <w:pPr>
        <w:pStyle w:val="ListParagraph"/>
        <w:numPr>
          <w:ilvl w:val="0"/>
          <w:numId w:val="7"/>
        </w:numPr>
      </w:pPr>
      <w:r>
        <w:t>Teachers pay grant could be extended beyond March 2020</w:t>
      </w:r>
    </w:p>
    <w:p w:rsidR="00FA6D89" w:rsidRDefault="00FA6D89" w:rsidP="009B7A94">
      <w:pPr>
        <w:pStyle w:val="ListParagraph"/>
        <w:numPr>
          <w:ilvl w:val="0"/>
          <w:numId w:val="7"/>
        </w:numPr>
      </w:pPr>
      <w:r>
        <w:t>Comprehensive spending review in 2020</w:t>
      </w:r>
      <w:bookmarkStart w:id="0" w:name="_GoBack"/>
      <w:bookmarkEnd w:id="0"/>
    </w:p>
    <w:p w:rsidR="000A757B" w:rsidRPr="002F4FDE" w:rsidRDefault="000A757B" w:rsidP="000A757B">
      <w:pPr>
        <w:pStyle w:val="ListParagraph"/>
      </w:pPr>
    </w:p>
    <w:sectPr w:rsidR="000A757B" w:rsidRPr="002F4F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240" w:rsidRDefault="00F14240" w:rsidP="002F4FDE">
      <w:r>
        <w:separator/>
      </w:r>
    </w:p>
  </w:endnote>
  <w:endnote w:type="continuationSeparator" w:id="0">
    <w:p w:rsidR="00F14240" w:rsidRDefault="00F14240"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DE" w:rsidRPr="002F4FDE" w:rsidRDefault="002F4FD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240" w:rsidRDefault="00F14240" w:rsidP="002F4FDE">
      <w:r>
        <w:separator/>
      </w:r>
    </w:p>
  </w:footnote>
  <w:footnote w:type="continuationSeparator" w:id="0">
    <w:p w:rsidR="00F14240" w:rsidRDefault="00F14240" w:rsidP="002F4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E03"/>
    <w:multiLevelType w:val="hybridMultilevel"/>
    <w:tmpl w:val="428C8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B34F8"/>
    <w:multiLevelType w:val="hybridMultilevel"/>
    <w:tmpl w:val="A9886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80414"/>
    <w:multiLevelType w:val="hybridMultilevel"/>
    <w:tmpl w:val="6476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5413E"/>
    <w:multiLevelType w:val="hybridMultilevel"/>
    <w:tmpl w:val="3EC0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64C81"/>
    <w:multiLevelType w:val="hybridMultilevel"/>
    <w:tmpl w:val="69C06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043A7"/>
    <w:multiLevelType w:val="hybridMultilevel"/>
    <w:tmpl w:val="4ABA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42061"/>
    <w:multiLevelType w:val="hybridMultilevel"/>
    <w:tmpl w:val="BF582B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D614132"/>
    <w:multiLevelType w:val="hybridMultilevel"/>
    <w:tmpl w:val="9D9C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40"/>
    <w:rsid w:val="00015E76"/>
    <w:rsid w:val="00023093"/>
    <w:rsid w:val="00062F9C"/>
    <w:rsid w:val="00080628"/>
    <w:rsid w:val="000A757B"/>
    <w:rsid w:val="000B2DFD"/>
    <w:rsid w:val="000B4892"/>
    <w:rsid w:val="000C4B8F"/>
    <w:rsid w:val="000C6A65"/>
    <w:rsid w:val="001141E0"/>
    <w:rsid w:val="00115756"/>
    <w:rsid w:val="001305A5"/>
    <w:rsid w:val="00181F82"/>
    <w:rsid w:val="001852BA"/>
    <w:rsid w:val="001B3ED1"/>
    <w:rsid w:val="001E088D"/>
    <w:rsid w:val="00222FCC"/>
    <w:rsid w:val="00240C26"/>
    <w:rsid w:val="0024766F"/>
    <w:rsid w:val="0028373D"/>
    <w:rsid w:val="002A4087"/>
    <w:rsid w:val="002D0A41"/>
    <w:rsid w:val="002D77A0"/>
    <w:rsid w:val="002F181A"/>
    <w:rsid w:val="002F4FDE"/>
    <w:rsid w:val="003210EA"/>
    <w:rsid w:val="00327B8D"/>
    <w:rsid w:val="00352EF6"/>
    <w:rsid w:val="003B0E9A"/>
    <w:rsid w:val="003C6ADB"/>
    <w:rsid w:val="003E7850"/>
    <w:rsid w:val="00435B19"/>
    <w:rsid w:val="004473B3"/>
    <w:rsid w:val="004D29F6"/>
    <w:rsid w:val="004D733F"/>
    <w:rsid w:val="004E0544"/>
    <w:rsid w:val="004F5E87"/>
    <w:rsid w:val="005535AD"/>
    <w:rsid w:val="00596B3F"/>
    <w:rsid w:val="005B4B9F"/>
    <w:rsid w:val="005E511E"/>
    <w:rsid w:val="00601449"/>
    <w:rsid w:val="00614FE2"/>
    <w:rsid w:val="006334F6"/>
    <w:rsid w:val="006375A5"/>
    <w:rsid w:val="0064735A"/>
    <w:rsid w:val="00661902"/>
    <w:rsid w:val="00676181"/>
    <w:rsid w:val="00684633"/>
    <w:rsid w:val="0069048D"/>
    <w:rsid w:val="00697747"/>
    <w:rsid w:val="006A5402"/>
    <w:rsid w:val="006A5521"/>
    <w:rsid w:val="006B34B1"/>
    <w:rsid w:val="006C5D6B"/>
    <w:rsid w:val="006E00BA"/>
    <w:rsid w:val="0072043F"/>
    <w:rsid w:val="00747AF6"/>
    <w:rsid w:val="00765411"/>
    <w:rsid w:val="0077721C"/>
    <w:rsid w:val="007A2723"/>
    <w:rsid w:val="007A7156"/>
    <w:rsid w:val="007B4D57"/>
    <w:rsid w:val="007C5D33"/>
    <w:rsid w:val="007D044B"/>
    <w:rsid w:val="007E7C83"/>
    <w:rsid w:val="007F639D"/>
    <w:rsid w:val="00834BCD"/>
    <w:rsid w:val="008516BB"/>
    <w:rsid w:val="0086541D"/>
    <w:rsid w:val="00884343"/>
    <w:rsid w:val="00893CA2"/>
    <w:rsid w:val="008B494A"/>
    <w:rsid w:val="008C2179"/>
    <w:rsid w:val="008F7E80"/>
    <w:rsid w:val="00906287"/>
    <w:rsid w:val="00971E0B"/>
    <w:rsid w:val="00976E78"/>
    <w:rsid w:val="00983DC8"/>
    <w:rsid w:val="00993DB1"/>
    <w:rsid w:val="009B7A94"/>
    <w:rsid w:val="009E5A83"/>
    <w:rsid w:val="00A01218"/>
    <w:rsid w:val="00A02B65"/>
    <w:rsid w:val="00A3097E"/>
    <w:rsid w:val="00A6079D"/>
    <w:rsid w:val="00A9234F"/>
    <w:rsid w:val="00A96390"/>
    <w:rsid w:val="00AA255A"/>
    <w:rsid w:val="00AF1940"/>
    <w:rsid w:val="00B206E9"/>
    <w:rsid w:val="00B325D7"/>
    <w:rsid w:val="00B85491"/>
    <w:rsid w:val="00BA4E3C"/>
    <w:rsid w:val="00C611A6"/>
    <w:rsid w:val="00C67465"/>
    <w:rsid w:val="00C878E4"/>
    <w:rsid w:val="00CC3AD7"/>
    <w:rsid w:val="00CD6F2F"/>
    <w:rsid w:val="00CE0700"/>
    <w:rsid w:val="00D02342"/>
    <w:rsid w:val="00D1033B"/>
    <w:rsid w:val="00D42202"/>
    <w:rsid w:val="00D46EDF"/>
    <w:rsid w:val="00DB20D8"/>
    <w:rsid w:val="00DC713B"/>
    <w:rsid w:val="00DF0B83"/>
    <w:rsid w:val="00E43795"/>
    <w:rsid w:val="00E73B6D"/>
    <w:rsid w:val="00E92B32"/>
    <w:rsid w:val="00F14240"/>
    <w:rsid w:val="00F2600B"/>
    <w:rsid w:val="00F43C79"/>
    <w:rsid w:val="00FA2BC7"/>
    <w:rsid w:val="00FA2CE6"/>
    <w:rsid w:val="00FA6D89"/>
    <w:rsid w:val="00FB61F0"/>
    <w:rsid w:val="00FC2A97"/>
    <w:rsid w:val="00FE0D23"/>
    <w:rsid w:val="00FE3919"/>
    <w:rsid w:val="00FF2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02143"/>
  <w15:chartTrackingRefBased/>
  <w15:docId w15:val="{E3F14303-3441-4A76-8775-1F3D639E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BalloonText">
    <w:name w:val="Balloon Text"/>
    <w:basedOn w:val="Normal"/>
    <w:link w:val="BalloonTextChar"/>
    <w:uiPriority w:val="99"/>
    <w:semiHidden/>
    <w:unhideWhenUsed/>
    <w:rsid w:val="007F6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9D"/>
    <w:rPr>
      <w:rFonts w:ascii="Segoe UI" w:hAnsi="Segoe UI" w:cs="Segoe UI"/>
      <w:sz w:val="18"/>
      <w:szCs w:val="18"/>
    </w:rPr>
  </w:style>
  <w:style w:type="paragraph" w:styleId="ListParagraph">
    <w:name w:val="List Paragraph"/>
    <w:basedOn w:val="Normal"/>
    <w:uiPriority w:val="34"/>
    <w:qFormat/>
    <w:rsid w:val="00D46EDF"/>
    <w:pPr>
      <w:ind w:left="720"/>
      <w:contextualSpacing/>
    </w:pPr>
  </w:style>
  <w:style w:type="table" w:styleId="TableGrid">
    <w:name w:val="Table Grid"/>
    <w:basedOn w:val="TableNormal"/>
    <w:uiPriority w:val="39"/>
    <w:rsid w:val="004D2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20</cp:revision>
  <cp:lastPrinted>2018-10-03T12:56:00Z</cp:lastPrinted>
  <dcterms:created xsi:type="dcterms:W3CDTF">2019-02-11T10:49:00Z</dcterms:created>
  <dcterms:modified xsi:type="dcterms:W3CDTF">2019-02-11T14:52:00Z</dcterms:modified>
</cp:coreProperties>
</file>