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06" w:rsidRDefault="008A3AB8" w:rsidP="005D44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Narrative for c</w:t>
      </w:r>
      <w:r w:rsidR="00C96D15">
        <w:rPr>
          <w:b/>
          <w:sz w:val="32"/>
          <w:szCs w:val="32"/>
          <w:u w:val="single"/>
        </w:rPr>
        <w:t>ashflow</w:t>
      </w:r>
      <w:r w:rsidR="00FD19D1">
        <w:rPr>
          <w:b/>
          <w:sz w:val="32"/>
          <w:szCs w:val="32"/>
          <w:u w:val="single"/>
        </w:rPr>
        <w:t xml:space="preserve"> report to end </w:t>
      </w:r>
      <w:r w:rsidR="008629AB">
        <w:rPr>
          <w:b/>
          <w:sz w:val="32"/>
          <w:szCs w:val="32"/>
          <w:u w:val="single"/>
        </w:rPr>
        <w:t>January 2020</w:t>
      </w:r>
    </w:p>
    <w:p w:rsidR="00DF0B83" w:rsidRPr="008A3AB8" w:rsidRDefault="008A3AB8" w:rsidP="008A3A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3C366F" w:rsidRDefault="008629AB">
      <w:r>
        <w:t xml:space="preserve">The Jan re-forecast </w:t>
      </w:r>
      <w:proofErr w:type="gramStart"/>
      <w:r>
        <w:t>has been completed</w:t>
      </w:r>
      <w:proofErr w:type="gramEnd"/>
      <w:r>
        <w:t xml:space="preserve"> updating the total expected </w:t>
      </w:r>
      <w:proofErr w:type="spellStart"/>
      <w:r>
        <w:t>cashflow</w:t>
      </w:r>
      <w:proofErr w:type="spellEnd"/>
      <w:r>
        <w:t xml:space="preserve"> income and expenditure for the year as per </w:t>
      </w:r>
      <w:proofErr w:type="spellStart"/>
      <w:r>
        <w:t>virements</w:t>
      </w:r>
      <w:proofErr w:type="spellEnd"/>
      <w:r>
        <w:t xml:space="preserve"> to date. The latest staff cost calculators were also used update expected expenditure. </w:t>
      </w:r>
    </w:p>
    <w:p w:rsidR="008629AB" w:rsidRDefault="008629AB">
      <w:r>
        <w:t xml:space="preserve">Sept to Jan forecast figures </w:t>
      </w:r>
      <w:proofErr w:type="gramStart"/>
      <w:r>
        <w:t>were updated</w:t>
      </w:r>
      <w:proofErr w:type="gramEnd"/>
      <w:r>
        <w:t xml:space="preserve"> to match actuals and remaining expected income and expenditure was distributed across Jan to Aug as described in the tables on tab “Notes – Jan”.</w:t>
      </w:r>
    </w:p>
    <w:p w:rsidR="008629AB" w:rsidRDefault="008629AB">
      <w:r>
        <w:t xml:space="preserve">September Forecast and Notes </w:t>
      </w:r>
      <w:proofErr w:type="gramStart"/>
      <w:r>
        <w:t>were retained</w:t>
      </w:r>
      <w:proofErr w:type="gramEnd"/>
      <w:r>
        <w:t xml:space="preserve"> on their own tabs for future reference.</w:t>
      </w:r>
    </w:p>
    <w:p w:rsidR="00FE5928" w:rsidRDefault="00FE5928"/>
    <w:p w:rsidR="00FE5928" w:rsidRPr="009836C9" w:rsidRDefault="00FE5928">
      <w:pPr>
        <w:rPr>
          <w:b/>
        </w:rPr>
      </w:pPr>
      <w:r w:rsidRPr="009836C9">
        <w:rPr>
          <w:b/>
        </w:rPr>
        <w:t>Income</w:t>
      </w:r>
    </w:p>
    <w:p w:rsidR="009836C9" w:rsidRDefault="009836C9">
      <w:r>
        <w:t xml:space="preserve">Income is set as per expected income from the budget and any subsequent </w:t>
      </w:r>
      <w:proofErr w:type="spellStart"/>
      <w:r>
        <w:t>virements</w:t>
      </w:r>
      <w:proofErr w:type="spellEnd"/>
      <w:r>
        <w:t>.</w:t>
      </w:r>
      <w:r w:rsidR="008629AB">
        <w:t xml:space="preserve"> It also includes the £20k SEN </w:t>
      </w:r>
      <w:proofErr w:type="gramStart"/>
      <w:r w:rsidR="008629AB">
        <w:t>grant which</w:t>
      </w:r>
      <w:proofErr w:type="gramEnd"/>
      <w:r w:rsidR="008629AB">
        <w:t xml:space="preserve"> has not been processed on a </w:t>
      </w:r>
      <w:proofErr w:type="spellStart"/>
      <w:r w:rsidR="008629AB">
        <w:t>virement</w:t>
      </w:r>
      <w:proofErr w:type="spellEnd"/>
      <w:r w:rsidR="008629AB">
        <w:t xml:space="preserve"> yet.</w:t>
      </w:r>
    </w:p>
    <w:p w:rsidR="009836C9" w:rsidRDefault="009836C9"/>
    <w:p w:rsidR="00FE5928" w:rsidRPr="009836C9" w:rsidRDefault="00FE5928">
      <w:pPr>
        <w:rPr>
          <w:b/>
        </w:rPr>
      </w:pPr>
      <w:r w:rsidRPr="009836C9">
        <w:rPr>
          <w:b/>
        </w:rPr>
        <w:t>Expenditure</w:t>
      </w:r>
    </w:p>
    <w:p w:rsidR="009836C9" w:rsidRDefault="009836C9">
      <w:r>
        <w:t>Expenditure is set as per expected expenditure</w:t>
      </w:r>
      <w:r w:rsidRPr="009836C9">
        <w:t xml:space="preserve"> from the budget and any subsequent </w:t>
      </w:r>
      <w:proofErr w:type="spellStart"/>
      <w:r w:rsidRPr="009836C9">
        <w:t>virements</w:t>
      </w:r>
      <w:proofErr w:type="spellEnd"/>
      <w:r w:rsidRPr="009836C9">
        <w:t>.</w:t>
      </w:r>
    </w:p>
    <w:p w:rsidR="005905FB" w:rsidRDefault="005905FB"/>
    <w:p w:rsidR="005905FB" w:rsidRDefault="005905FB">
      <w:r>
        <w:t xml:space="preserve">It </w:t>
      </w:r>
      <w:proofErr w:type="gramStart"/>
      <w:r>
        <w:t>was noted</w:t>
      </w:r>
      <w:proofErr w:type="gramEnd"/>
      <w:r>
        <w:t xml:space="preserve"> that a couple of months staffing costs were significantly higher than expected before the re-forecast. At least one of these was because of teacher pay rises going through in Nov backdated to Sept. </w:t>
      </w:r>
    </w:p>
    <w:p w:rsidR="005905FB" w:rsidRDefault="005905FB"/>
    <w:p w:rsidR="005905FB" w:rsidRDefault="005905FB">
      <w:r>
        <w:t xml:space="preserve">It’s also worth noting that staffing expenditure on the </w:t>
      </w:r>
      <w:proofErr w:type="spellStart"/>
      <w:r>
        <w:t>cashflow</w:t>
      </w:r>
      <w:proofErr w:type="spellEnd"/>
      <w:r>
        <w:t xml:space="preserve"> analysis is taken from the BACS report so includes extras like additional hours, sports coaching, tutors etc</w:t>
      </w:r>
      <w:proofErr w:type="gramStart"/>
      <w:r>
        <w:t>..</w:t>
      </w:r>
      <w:proofErr w:type="gramEnd"/>
      <w:r>
        <w:t xml:space="preserve"> </w:t>
      </w:r>
      <w:proofErr w:type="gramStart"/>
      <w:r>
        <w:t>some</w:t>
      </w:r>
      <w:proofErr w:type="gramEnd"/>
      <w:r>
        <w:t xml:space="preserve"> of which is funded from other cost centres on the budget. This may result in staffing expenditure looking higher than expected in some months. This </w:t>
      </w:r>
      <w:proofErr w:type="gramStart"/>
      <w:r>
        <w:t>will be monitored</w:t>
      </w:r>
      <w:proofErr w:type="gramEnd"/>
      <w:r>
        <w:t xml:space="preserve"> and reviewed moving forward.</w:t>
      </w:r>
    </w:p>
    <w:p w:rsidR="00FE5928" w:rsidRDefault="00FE5928"/>
    <w:p w:rsidR="009836C9" w:rsidRPr="009836C9" w:rsidRDefault="009836C9">
      <w:pPr>
        <w:rPr>
          <w:b/>
        </w:rPr>
      </w:pPr>
      <w:r w:rsidRPr="009836C9">
        <w:rPr>
          <w:b/>
        </w:rPr>
        <w:t>Summary</w:t>
      </w:r>
    </w:p>
    <w:p w:rsidR="009836C9" w:rsidRDefault="009836C9"/>
    <w:p w:rsidR="001C7810" w:rsidRDefault="00597608" w:rsidP="005905FB">
      <w:r>
        <w:t xml:space="preserve">The </w:t>
      </w:r>
      <w:r w:rsidR="005905FB">
        <w:t xml:space="preserve">re-forecast has not changed the expectation for the year hugely. March and July remain the lowest forecast months </w:t>
      </w:r>
      <w:proofErr w:type="gramStart"/>
      <w:r w:rsidR="005905FB">
        <w:t>however,</w:t>
      </w:r>
      <w:proofErr w:type="gramEnd"/>
      <w:r w:rsidR="005905FB">
        <w:t xml:space="preserve"> there has been some improvement in expectations in these months. </w:t>
      </w:r>
    </w:p>
    <w:p w:rsidR="001C7810" w:rsidRDefault="001C7810"/>
    <w:p w:rsidR="00D077D7" w:rsidRDefault="00DD2AF0">
      <w:r>
        <w:t xml:space="preserve">The report includes </w:t>
      </w:r>
      <w:r w:rsidR="00D077D7">
        <w:t>all tabs of the Excel workbook which are:</w:t>
      </w:r>
    </w:p>
    <w:p w:rsidR="00D077D7" w:rsidRDefault="00D077D7"/>
    <w:p w:rsidR="00D077D7" w:rsidRDefault="00D077D7" w:rsidP="00D077D7">
      <w:pPr>
        <w:pStyle w:val="ListParagraph"/>
        <w:numPr>
          <w:ilvl w:val="0"/>
          <w:numId w:val="1"/>
        </w:numPr>
      </w:pPr>
      <w:r w:rsidRPr="00D077D7">
        <w:rPr>
          <w:b/>
        </w:rPr>
        <w:t>Forecast Current</w:t>
      </w:r>
      <w:r>
        <w:t xml:space="preserve"> </w:t>
      </w:r>
      <w:r w:rsidR="00F02C1F">
        <w:rPr>
          <w:b/>
        </w:rPr>
        <w:t>(</w:t>
      </w:r>
      <w:r w:rsidR="008629AB">
        <w:rPr>
          <w:b/>
        </w:rPr>
        <w:t>Jan</w:t>
      </w:r>
      <w:proofErr w:type="gramStart"/>
      <w:r w:rsidR="00A62D7D" w:rsidRPr="00A62D7D">
        <w:rPr>
          <w:b/>
        </w:rPr>
        <w:t>)</w:t>
      </w:r>
      <w:r w:rsidRPr="00A62D7D">
        <w:rPr>
          <w:b/>
        </w:rPr>
        <w:t>–</w:t>
      </w:r>
      <w:proofErr w:type="gramEnd"/>
      <w:r>
        <w:t xml:space="preserve"> this is where we forecast the cashflow for the year. This page is updated in Jan and April to reflect revised cashflow patterns throughout the year.</w:t>
      </w:r>
    </w:p>
    <w:p w:rsidR="00D077D7" w:rsidRPr="00D077D7" w:rsidRDefault="00D077D7" w:rsidP="00D077D7">
      <w:pPr>
        <w:pStyle w:val="ListParagraph"/>
        <w:numPr>
          <w:ilvl w:val="0"/>
          <w:numId w:val="1"/>
        </w:numPr>
        <w:rPr>
          <w:b/>
        </w:rPr>
      </w:pPr>
      <w:r w:rsidRPr="00D077D7">
        <w:rPr>
          <w:b/>
        </w:rPr>
        <w:t>Actuals</w:t>
      </w:r>
      <w:r>
        <w:t xml:space="preserve"> – </w:t>
      </w:r>
      <w:r w:rsidR="009A38B8">
        <w:t>This</w:t>
      </w:r>
      <w:r>
        <w:t xml:space="preserve"> shows actual income and expenditure compared to forecast for each month. </w:t>
      </w:r>
    </w:p>
    <w:p w:rsidR="00D077D7" w:rsidRPr="00154B98" w:rsidRDefault="00D077D7" w:rsidP="00D077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Notes </w:t>
      </w:r>
      <w:r w:rsidR="00F02C1F">
        <w:rPr>
          <w:b/>
        </w:rPr>
        <w:t>(</w:t>
      </w:r>
      <w:r w:rsidR="008629AB">
        <w:rPr>
          <w:b/>
        </w:rPr>
        <w:t>Jan</w:t>
      </w:r>
      <w:proofErr w:type="gramStart"/>
      <w:r w:rsidR="00A62D7D">
        <w:rPr>
          <w:b/>
        </w:rPr>
        <w:t>)</w:t>
      </w:r>
      <w:r>
        <w:t>–</w:t>
      </w:r>
      <w:proofErr w:type="gramEnd"/>
      <w:r>
        <w:t xml:space="preserve"> this shows the breakdown of categories and how\why we have forecast the way we have. This is mainly operational bu</w:t>
      </w:r>
      <w:r w:rsidR="00154B98">
        <w:t xml:space="preserve">t </w:t>
      </w:r>
      <w:proofErr w:type="gramStart"/>
      <w:r w:rsidR="00154B98">
        <w:t>I’ve</w:t>
      </w:r>
      <w:proofErr w:type="gramEnd"/>
      <w:r w:rsidR="00154B98">
        <w:t xml:space="preserve"> left it in for reference.</w:t>
      </w:r>
    </w:p>
    <w:p w:rsidR="00154B98" w:rsidRDefault="00154B98" w:rsidP="00154B98">
      <w:pPr>
        <w:pStyle w:val="ListParagraph"/>
        <w:numPr>
          <w:ilvl w:val="0"/>
          <w:numId w:val="1"/>
        </w:numPr>
      </w:pPr>
      <w:r>
        <w:rPr>
          <w:b/>
        </w:rPr>
        <w:t>Archive Forecast (Sept</w:t>
      </w:r>
      <w:proofErr w:type="gramStart"/>
      <w:r w:rsidRPr="00A62D7D">
        <w:rPr>
          <w:b/>
        </w:rPr>
        <w:t>)–</w:t>
      </w:r>
      <w:proofErr w:type="gramEnd"/>
      <w:r>
        <w:t xml:space="preserve"> this is where we retain the previous forecast for</w:t>
      </w:r>
      <w:r w:rsidR="0083406A">
        <w:t xml:space="preserve"> comparison and reference.</w:t>
      </w:r>
    </w:p>
    <w:p w:rsidR="00FD19D1" w:rsidRPr="005905FB" w:rsidRDefault="00154B98" w:rsidP="005905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Archive Notes (September</w:t>
      </w:r>
      <w:proofErr w:type="gramStart"/>
      <w:r>
        <w:rPr>
          <w:b/>
        </w:rPr>
        <w:t>)</w:t>
      </w:r>
      <w:r>
        <w:t>–</w:t>
      </w:r>
      <w:proofErr w:type="gramEnd"/>
      <w:r>
        <w:t xml:space="preserve"> </w:t>
      </w:r>
      <w:r w:rsidR="0083406A">
        <w:t>this is where we retain the previous forecast</w:t>
      </w:r>
      <w:r w:rsidR="0083406A">
        <w:t xml:space="preserve"> notes</w:t>
      </w:r>
      <w:r w:rsidR="0083406A">
        <w:t xml:space="preserve"> for comparison and</w:t>
      </w:r>
      <w:r w:rsidR="005905FB">
        <w:t xml:space="preserve"> reference.</w:t>
      </w:r>
      <w:bookmarkStart w:id="0" w:name="_GoBack"/>
      <w:bookmarkEnd w:id="0"/>
    </w:p>
    <w:sectPr w:rsidR="00FD19D1" w:rsidRPr="005905F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98" w:rsidRDefault="00154B98" w:rsidP="002F4FDE">
      <w:r>
        <w:separator/>
      </w:r>
    </w:p>
  </w:endnote>
  <w:endnote w:type="continuationSeparator" w:id="0">
    <w:p w:rsidR="00154B98" w:rsidRDefault="00154B98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98" w:rsidRPr="002F4FDE" w:rsidRDefault="00154B9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98" w:rsidRDefault="00154B98" w:rsidP="002F4FDE">
      <w:r>
        <w:separator/>
      </w:r>
    </w:p>
  </w:footnote>
  <w:footnote w:type="continuationSeparator" w:id="0">
    <w:p w:rsidR="00154B98" w:rsidRDefault="00154B98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C026C"/>
    <w:multiLevelType w:val="hybridMultilevel"/>
    <w:tmpl w:val="0CA6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714EE"/>
    <w:rsid w:val="00072057"/>
    <w:rsid w:val="000A65D1"/>
    <w:rsid w:val="000B3F12"/>
    <w:rsid w:val="00153418"/>
    <w:rsid w:val="00154B98"/>
    <w:rsid w:val="001C7810"/>
    <w:rsid w:val="00222FCC"/>
    <w:rsid w:val="00224A3D"/>
    <w:rsid w:val="00225E98"/>
    <w:rsid w:val="00272253"/>
    <w:rsid w:val="002F0345"/>
    <w:rsid w:val="002F4FDE"/>
    <w:rsid w:val="00305A3F"/>
    <w:rsid w:val="003176EC"/>
    <w:rsid w:val="00323B7D"/>
    <w:rsid w:val="003427BC"/>
    <w:rsid w:val="00387110"/>
    <w:rsid w:val="00395E4E"/>
    <w:rsid w:val="003B3CD4"/>
    <w:rsid w:val="003C366F"/>
    <w:rsid w:val="004164F4"/>
    <w:rsid w:val="004356FD"/>
    <w:rsid w:val="004D78B5"/>
    <w:rsid w:val="00577992"/>
    <w:rsid w:val="005905FB"/>
    <w:rsid w:val="00597608"/>
    <w:rsid w:val="005D4406"/>
    <w:rsid w:val="005E6225"/>
    <w:rsid w:val="00601449"/>
    <w:rsid w:val="0064444D"/>
    <w:rsid w:val="0064735A"/>
    <w:rsid w:val="00662F71"/>
    <w:rsid w:val="0069048D"/>
    <w:rsid w:val="006B0282"/>
    <w:rsid w:val="006E22D1"/>
    <w:rsid w:val="006F5943"/>
    <w:rsid w:val="00710AEF"/>
    <w:rsid w:val="007403E7"/>
    <w:rsid w:val="00747434"/>
    <w:rsid w:val="00785E90"/>
    <w:rsid w:val="00786877"/>
    <w:rsid w:val="007F639D"/>
    <w:rsid w:val="0083406A"/>
    <w:rsid w:val="0085217C"/>
    <w:rsid w:val="008629AB"/>
    <w:rsid w:val="0086541D"/>
    <w:rsid w:val="008913B6"/>
    <w:rsid w:val="008A3AB8"/>
    <w:rsid w:val="008B494A"/>
    <w:rsid w:val="008F21D4"/>
    <w:rsid w:val="00906287"/>
    <w:rsid w:val="0092503F"/>
    <w:rsid w:val="0094267C"/>
    <w:rsid w:val="009619A0"/>
    <w:rsid w:val="00971E0B"/>
    <w:rsid w:val="009836C9"/>
    <w:rsid w:val="00993DB1"/>
    <w:rsid w:val="009A38B8"/>
    <w:rsid w:val="009D1475"/>
    <w:rsid w:val="009E5A83"/>
    <w:rsid w:val="009E7599"/>
    <w:rsid w:val="00A6079D"/>
    <w:rsid w:val="00A62D7D"/>
    <w:rsid w:val="00AA64DA"/>
    <w:rsid w:val="00AE758D"/>
    <w:rsid w:val="00B5312C"/>
    <w:rsid w:val="00B5710A"/>
    <w:rsid w:val="00B707FE"/>
    <w:rsid w:val="00B75144"/>
    <w:rsid w:val="00B85491"/>
    <w:rsid w:val="00C611A6"/>
    <w:rsid w:val="00C81FA9"/>
    <w:rsid w:val="00C920FB"/>
    <w:rsid w:val="00C96D15"/>
    <w:rsid w:val="00CB6001"/>
    <w:rsid w:val="00D077D7"/>
    <w:rsid w:val="00D26263"/>
    <w:rsid w:val="00DB5CBA"/>
    <w:rsid w:val="00DC713B"/>
    <w:rsid w:val="00DD2AF0"/>
    <w:rsid w:val="00DF0B83"/>
    <w:rsid w:val="00E43795"/>
    <w:rsid w:val="00E821F2"/>
    <w:rsid w:val="00E97B93"/>
    <w:rsid w:val="00F02C1F"/>
    <w:rsid w:val="00F14240"/>
    <w:rsid w:val="00F848D7"/>
    <w:rsid w:val="00F9211E"/>
    <w:rsid w:val="00F9500C"/>
    <w:rsid w:val="00FB179A"/>
    <w:rsid w:val="00FD19D1"/>
    <w:rsid w:val="00FE5928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202C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9CB4-F9B4-4707-AAF7-B2A2F105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488E76B2</Template>
  <TotalTime>25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12</cp:revision>
  <cp:lastPrinted>2016-11-11T16:59:00Z</cp:lastPrinted>
  <dcterms:created xsi:type="dcterms:W3CDTF">2019-11-25T13:02:00Z</dcterms:created>
  <dcterms:modified xsi:type="dcterms:W3CDTF">2020-02-06T14:55:00Z</dcterms:modified>
</cp:coreProperties>
</file>