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proofErr w:type="gramStart"/>
      <w:r w:rsidR="00446C64">
        <w:rPr>
          <w:b/>
          <w:sz w:val="32"/>
          <w:szCs w:val="32"/>
          <w:u w:val="single"/>
        </w:rPr>
        <w:t>3</w:t>
      </w:r>
      <w:r w:rsidR="008F7E80">
        <w:rPr>
          <w:b/>
          <w:sz w:val="32"/>
          <w:szCs w:val="32"/>
          <w:u w:val="single"/>
        </w:rPr>
        <w:t xml:space="preserve"> year</w:t>
      </w:r>
      <w:proofErr w:type="gramEnd"/>
      <w:r w:rsidR="008F7E80">
        <w:rPr>
          <w:b/>
          <w:sz w:val="32"/>
          <w:szCs w:val="32"/>
          <w:u w:val="single"/>
        </w:rPr>
        <w:t xml:space="preserve"> budget forecast r</w:t>
      </w:r>
      <w:r w:rsidRPr="00C611A6">
        <w:rPr>
          <w:b/>
          <w:sz w:val="32"/>
          <w:szCs w:val="32"/>
          <w:u w:val="single"/>
        </w:rPr>
        <w:t xml:space="preserve">eport </w:t>
      </w:r>
    </w:p>
    <w:p w:rsidR="00CB7C6D" w:rsidRPr="00C611A6" w:rsidRDefault="00CB7C6D" w:rsidP="00CB7C6D">
      <w:pPr>
        <w:jc w:val="center"/>
        <w:rPr>
          <w:b/>
          <w:sz w:val="32"/>
          <w:szCs w:val="32"/>
          <w:u w:val="single"/>
        </w:rPr>
      </w:pPr>
      <w:r>
        <w:rPr>
          <w:b/>
          <w:sz w:val="32"/>
          <w:szCs w:val="32"/>
          <w:u w:val="single"/>
        </w:rPr>
        <w:t>Feb 2023</w:t>
      </w:r>
    </w:p>
    <w:p w:rsidR="008F7E80" w:rsidRDefault="008F7E80"/>
    <w:p w:rsidR="004444EC" w:rsidRDefault="004444EC"/>
    <w:p w:rsidR="00E16F3F" w:rsidRDefault="007771F7">
      <w:r>
        <w:t>The 2022-23</w:t>
      </w:r>
      <w:r w:rsidR="00E16F3F">
        <w:t xml:space="preserve"> Budget column shows figures as per the original budget.</w:t>
      </w:r>
    </w:p>
    <w:p w:rsidR="00E16F3F" w:rsidRDefault="00E16F3F"/>
    <w:p w:rsidR="004444EC" w:rsidRDefault="007771F7">
      <w:r>
        <w:t>The 2022-23</w:t>
      </w:r>
      <w:r w:rsidR="00E16F3F">
        <w:t xml:space="preserve"> Updated column includes </w:t>
      </w:r>
      <w:proofErr w:type="spellStart"/>
      <w:r w:rsidR="00E16F3F">
        <w:t>virements</w:t>
      </w:r>
      <w:proofErr w:type="spellEnd"/>
      <w:r w:rsidR="00E16F3F">
        <w:t xml:space="preserve"> and variations that are included in the</w:t>
      </w:r>
      <w:r w:rsidR="005B1A7C">
        <w:t xml:space="preserve"> Budget position report for </w:t>
      </w:r>
      <w:r>
        <w:t>Jan 2023</w:t>
      </w:r>
      <w:r w:rsidR="00E16F3F">
        <w:t xml:space="preserve"> </w:t>
      </w:r>
    </w:p>
    <w:p w:rsidR="00195329" w:rsidRPr="007F5B78" w:rsidRDefault="00195329">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422194" w:rsidRDefault="00A96390" w:rsidP="00935165">
      <w:pPr>
        <w:pStyle w:val="ListParagraph"/>
        <w:numPr>
          <w:ilvl w:val="0"/>
          <w:numId w:val="4"/>
        </w:numPr>
      </w:pPr>
      <w:proofErr w:type="spellStart"/>
      <w:r w:rsidRPr="00D95449">
        <w:t>Teachers</w:t>
      </w:r>
      <w:proofErr w:type="spellEnd"/>
      <w:r w:rsidRPr="00D95449">
        <w:t xml:space="preserve"> pension </w:t>
      </w:r>
      <w:r w:rsidR="00422194">
        <w:t>grant for 6</w:t>
      </w:r>
      <w:r w:rsidR="00422194" w:rsidRPr="00422194">
        <w:rPr>
          <w:vertAlign w:val="superscript"/>
        </w:rPr>
        <w:t>th</w:t>
      </w:r>
      <w:r w:rsidR="00422194">
        <w:t xml:space="preserve"> form will continue to be paid separately but the pay grant has now been rolled into basic funding</w:t>
      </w:r>
    </w:p>
    <w:p w:rsidR="0000030D" w:rsidRPr="00D95449" w:rsidRDefault="00D95449" w:rsidP="00935165">
      <w:pPr>
        <w:pStyle w:val="ListParagraph"/>
        <w:numPr>
          <w:ilvl w:val="0"/>
          <w:numId w:val="4"/>
        </w:numPr>
      </w:pPr>
      <w:r w:rsidRPr="00D95449">
        <w:t xml:space="preserve">Pupil numbers </w:t>
      </w:r>
      <w:r w:rsidR="00A14F74">
        <w:t>have been updated to re</w:t>
      </w:r>
      <w:r w:rsidR="007D247B">
        <w:t>flect current on roll as at Oct 2022 (census)</w:t>
      </w:r>
      <w:r w:rsidR="00A14F74">
        <w:t xml:space="preserve"> and intakes of 240 in year 7 and 180 in year 12 each year</w:t>
      </w:r>
      <w:r w:rsidR="007D247B">
        <w:t xml:space="preserve"> moving forward</w:t>
      </w:r>
      <w:r w:rsidR="00A14F74">
        <w:t>.</w:t>
      </w:r>
    </w:p>
    <w:p w:rsidR="00A14F74" w:rsidRDefault="007D247B" w:rsidP="007D247B">
      <w:pPr>
        <w:pStyle w:val="ListParagraph"/>
        <w:numPr>
          <w:ilvl w:val="0"/>
          <w:numId w:val="4"/>
        </w:numPr>
      </w:pPr>
      <w:r>
        <w:t xml:space="preserve">Assumed a loss of </w:t>
      </w:r>
      <w:r w:rsidR="003B203D" w:rsidRPr="00D95449">
        <w:t>5% of students between Yr12 and Yr13 each year</w:t>
      </w:r>
      <w:r>
        <w:t xml:space="preserve"> to reflect the larger % of internal students admitted which will hopefully minimise movement</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660668" w:rsidRDefault="00660668" w:rsidP="00E92B32"/>
    <w:p w:rsidR="00660668" w:rsidRDefault="00660668" w:rsidP="00660668">
      <w:pPr>
        <w:pStyle w:val="ListParagraph"/>
        <w:numPr>
          <w:ilvl w:val="0"/>
          <w:numId w:val="24"/>
        </w:numPr>
      </w:pPr>
      <w:r>
        <w:t xml:space="preserve">Supplementary Grant has been </w:t>
      </w:r>
      <w:r w:rsidR="009A5982">
        <w:t>increased for the current year and 2022-23 based on published allocations. 2023-24 has been assumed as per 2022-23.</w:t>
      </w:r>
    </w:p>
    <w:p w:rsidR="009A5982" w:rsidRDefault="009A5982" w:rsidP="00660668">
      <w:pPr>
        <w:pStyle w:val="ListParagraph"/>
        <w:numPr>
          <w:ilvl w:val="0"/>
          <w:numId w:val="24"/>
        </w:numPr>
      </w:pPr>
      <w:r>
        <w:t xml:space="preserve">Lettings income has been reduced this year to reflect the expected position and to reflect the sports hall being out of use for exam periods. </w:t>
      </w:r>
    </w:p>
    <w:p w:rsidR="009A5982" w:rsidRDefault="009A5982" w:rsidP="00660668">
      <w:pPr>
        <w:pStyle w:val="ListParagraph"/>
        <w:numPr>
          <w:ilvl w:val="0"/>
          <w:numId w:val="24"/>
        </w:numPr>
      </w:pPr>
      <w:r>
        <w:t xml:space="preserve">ESFA GAG funding for </w:t>
      </w:r>
      <w:r w:rsidR="007D247B">
        <w:t xml:space="preserve">2023-24 forecast based on preliminary figures from </w:t>
      </w:r>
      <w:proofErr w:type="gramStart"/>
      <w:r w:rsidR="007D247B">
        <w:t>schools</w:t>
      </w:r>
      <w:proofErr w:type="gramEnd"/>
      <w:r w:rsidR="007D247B">
        <w:t xml:space="preserve"> forum (additional assumed increase of 2% applied for 2024-25)</w:t>
      </w:r>
    </w:p>
    <w:p w:rsidR="007D247B" w:rsidRPr="00D95449" w:rsidRDefault="007D247B" w:rsidP="00660668">
      <w:pPr>
        <w:pStyle w:val="ListParagraph"/>
        <w:numPr>
          <w:ilvl w:val="0"/>
          <w:numId w:val="24"/>
        </w:numPr>
      </w:pPr>
      <w:r>
        <w:t>16-19 funding in 2023-24 has been forecast using the recently released toolkit and data from our latest census (no assumed increase included for 2024-25).</w:t>
      </w:r>
    </w:p>
    <w:p w:rsidR="00596B3F" w:rsidRPr="00D95449" w:rsidRDefault="00596B3F" w:rsidP="009B7A94">
      <w:pPr>
        <w:pStyle w:val="ListParagraph"/>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8A1017" w:rsidRDefault="008A1017" w:rsidP="00596B3F">
      <w:pPr>
        <w:pStyle w:val="ListParagraph"/>
        <w:numPr>
          <w:ilvl w:val="0"/>
          <w:numId w:val="6"/>
        </w:numPr>
      </w:pPr>
      <w:r>
        <w:t>Teachers pay award for Sept 2</w:t>
      </w:r>
      <w:r w:rsidR="009A5982">
        <w:t>02</w:t>
      </w:r>
      <w:r w:rsidR="007D247B">
        <w:t>3</w:t>
      </w:r>
      <w:r w:rsidR="00FA4DE3">
        <w:t xml:space="preserve"> and Sept 2024</w:t>
      </w:r>
      <w:r>
        <w:t xml:space="preserve"> </w:t>
      </w:r>
      <w:r w:rsidR="00FA4DE3">
        <w:t>forecast at 2.5%</w:t>
      </w:r>
      <w:r w:rsidR="009A5982">
        <w:t>.</w:t>
      </w:r>
    </w:p>
    <w:p w:rsidR="009A5982" w:rsidRDefault="008A1017" w:rsidP="009A5A59">
      <w:pPr>
        <w:pStyle w:val="ListParagraph"/>
        <w:numPr>
          <w:ilvl w:val="0"/>
          <w:numId w:val="6"/>
        </w:numPr>
      </w:pPr>
      <w:r>
        <w:t>Suppor</w:t>
      </w:r>
      <w:r w:rsidR="009A5982">
        <w:t>t staff pay award for April 202</w:t>
      </w:r>
      <w:r w:rsidR="00FA4DE3">
        <w:t>3 forecast at 3% and April 2024 and 2025 at £2.5%</w:t>
      </w:r>
    </w:p>
    <w:p w:rsidR="00D6217B" w:rsidRDefault="00660668" w:rsidP="009A5A59">
      <w:pPr>
        <w:pStyle w:val="ListParagraph"/>
        <w:numPr>
          <w:ilvl w:val="0"/>
          <w:numId w:val="6"/>
        </w:numPr>
      </w:pPr>
      <w:r>
        <w:t>Additional expenditure as per the budget forecast and narrative have been added.</w:t>
      </w:r>
    </w:p>
    <w:p w:rsidR="00574D1C" w:rsidRDefault="00574D1C" w:rsidP="009A5A59">
      <w:pPr>
        <w:pStyle w:val="ListParagraph"/>
        <w:numPr>
          <w:ilvl w:val="0"/>
          <w:numId w:val="6"/>
        </w:numPr>
      </w:pPr>
      <w:r>
        <w:t>2023-24 Curriculum Department budgets assumes a 10% increase.</w:t>
      </w:r>
    </w:p>
    <w:p w:rsidR="00FA4DE3" w:rsidRDefault="00FA4DE3" w:rsidP="009A5A59">
      <w:pPr>
        <w:pStyle w:val="ListParagraph"/>
        <w:numPr>
          <w:ilvl w:val="0"/>
          <w:numId w:val="6"/>
        </w:numPr>
      </w:pPr>
      <w:r>
        <w:t>2023-24 onwards – Staffing costs forecast using the staff salary calculators and applying the increases detailed above.</w:t>
      </w:r>
    </w:p>
    <w:p w:rsidR="00574D1C" w:rsidRDefault="00574D1C" w:rsidP="009A5A59">
      <w:pPr>
        <w:pStyle w:val="ListParagraph"/>
        <w:numPr>
          <w:ilvl w:val="0"/>
          <w:numId w:val="6"/>
        </w:numPr>
      </w:pPr>
      <w:r>
        <w:lastRenderedPageBreak/>
        <w:t xml:space="preserve">2023-24 Energy </w:t>
      </w:r>
      <w:r w:rsidR="00FA4DE3">
        <w:t>forecast at a third of the current costs. This is based on current market positions and updates. 2024-25 costs increased by 10%.</w:t>
      </w:r>
    </w:p>
    <w:p w:rsidR="00EC2A57" w:rsidRDefault="00EC2A57" w:rsidP="0067424F">
      <w:pPr>
        <w:rPr>
          <w:b/>
          <w:u w:val="single"/>
        </w:rPr>
      </w:pPr>
    </w:p>
    <w:p w:rsidR="0067424F" w:rsidRPr="0067424F" w:rsidRDefault="0067424F" w:rsidP="0067424F">
      <w:pPr>
        <w:rPr>
          <w:b/>
          <w:u w:val="single"/>
        </w:rPr>
      </w:pPr>
      <w:r w:rsidRPr="0067424F">
        <w:rPr>
          <w:b/>
          <w:u w:val="single"/>
        </w:rPr>
        <w:t>Summary</w:t>
      </w:r>
    </w:p>
    <w:p w:rsidR="005C00FC" w:rsidRDefault="005C00FC" w:rsidP="0067424F"/>
    <w:p w:rsidR="00FA4DE3" w:rsidRDefault="00FA4DE3" w:rsidP="0067424F">
      <w:r>
        <w:t>The biggest variations since the last report are:</w:t>
      </w:r>
    </w:p>
    <w:p w:rsidR="005C00FC" w:rsidRDefault="00FA4DE3" w:rsidP="00FA4DE3">
      <w:pPr>
        <w:pStyle w:val="ListParagraph"/>
        <w:numPr>
          <w:ilvl w:val="0"/>
          <w:numId w:val="25"/>
        </w:numPr>
      </w:pPr>
      <w:r>
        <w:t>2022-23 improved in-year position and expected carry forward increase of £105k</w:t>
      </w:r>
    </w:p>
    <w:p w:rsidR="00FA4DE3" w:rsidRDefault="00FA4DE3" w:rsidP="00FA4DE3">
      <w:pPr>
        <w:pStyle w:val="ListParagraph"/>
        <w:numPr>
          <w:ilvl w:val="0"/>
          <w:numId w:val="25"/>
        </w:numPr>
      </w:pPr>
      <w:r>
        <w:t xml:space="preserve">2023-24 </w:t>
      </w:r>
    </w:p>
    <w:p w:rsidR="00FA4DE3" w:rsidRDefault="00FA4DE3" w:rsidP="00FA4DE3">
      <w:pPr>
        <w:pStyle w:val="ListParagraph"/>
        <w:numPr>
          <w:ilvl w:val="1"/>
          <w:numId w:val="25"/>
        </w:numPr>
      </w:pPr>
      <w:r>
        <w:t>£98k increase in forecast General Annual Grant and Additional Grants</w:t>
      </w:r>
    </w:p>
    <w:p w:rsidR="00FA4DE3" w:rsidRDefault="00314FA6" w:rsidP="00FA4DE3">
      <w:pPr>
        <w:pStyle w:val="ListParagraph"/>
        <w:numPr>
          <w:ilvl w:val="1"/>
          <w:numId w:val="25"/>
        </w:numPr>
      </w:pPr>
      <w:r>
        <w:t>(£20k) reduction in forecast staffing costs</w:t>
      </w:r>
    </w:p>
    <w:p w:rsidR="00314FA6" w:rsidRPr="00D95449" w:rsidRDefault="00314FA6" w:rsidP="00FA4DE3">
      <w:pPr>
        <w:pStyle w:val="ListParagraph"/>
        <w:numPr>
          <w:ilvl w:val="1"/>
          <w:numId w:val="25"/>
        </w:numPr>
      </w:pPr>
      <w:r>
        <w:t>(£90k) reduction in forecast energy costs</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FA6D89" w:rsidRDefault="004530F7" w:rsidP="00015FCB">
      <w:pPr>
        <w:pStyle w:val="ListParagraph"/>
        <w:numPr>
          <w:ilvl w:val="0"/>
          <w:numId w:val="7"/>
        </w:numPr>
      </w:pPr>
      <w:r>
        <w:t xml:space="preserve">Energy </w:t>
      </w:r>
      <w:r w:rsidR="00314FA6">
        <w:t>markets are currently down to pre-crisis levels and look set to stay there (although no-where near as low as they were 3 years ago).</w:t>
      </w:r>
    </w:p>
    <w:p w:rsidR="004530F7" w:rsidRDefault="004530F7" w:rsidP="00015FCB">
      <w:pPr>
        <w:pStyle w:val="ListParagraph"/>
        <w:numPr>
          <w:ilvl w:val="0"/>
          <w:numId w:val="7"/>
        </w:numPr>
      </w:pPr>
      <w:r>
        <w:t xml:space="preserve">Teachers and Support Staff pay awards </w:t>
      </w:r>
      <w:r w:rsidR="00314FA6">
        <w:t>are a risk depending on size and if they are funded or not</w:t>
      </w:r>
    </w:p>
    <w:p w:rsidR="00314FA6" w:rsidRDefault="00314FA6" w:rsidP="00015FCB">
      <w:pPr>
        <w:pStyle w:val="ListParagraph"/>
        <w:numPr>
          <w:ilvl w:val="0"/>
          <w:numId w:val="7"/>
        </w:numPr>
      </w:pPr>
      <w:r>
        <w:t>Actual funding figures for 2023-24 will not be known until the statements are released (usually end of Feb).</w:t>
      </w:r>
    </w:p>
    <w:p w:rsidR="00314FA6" w:rsidRDefault="00314FA6" w:rsidP="00015FCB">
      <w:pPr>
        <w:pStyle w:val="ListParagraph"/>
        <w:numPr>
          <w:ilvl w:val="0"/>
          <w:numId w:val="7"/>
        </w:numPr>
      </w:pPr>
      <w:r>
        <w:t>If we were to admit 200 into year 12 instead of 180, there is a possible additional £97k income in 2024-25 (this does come with some operational issues).</w:t>
      </w:r>
      <w:bookmarkStart w:id="0" w:name="_GoBack"/>
      <w:bookmarkEnd w:id="0"/>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8E1"/>
    <w:multiLevelType w:val="hybridMultilevel"/>
    <w:tmpl w:val="94D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E737A"/>
    <w:multiLevelType w:val="hybridMultilevel"/>
    <w:tmpl w:val="DA0ED68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4"/>
  </w:num>
  <w:num w:numId="2">
    <w:abstractNumId w:val="12"/>
  </w:num>
  <w:num w:numId="3">
    <w:abstractNumId w:val="16"/>
  </w:num>
  <w:num w:numId="4">
    <w:abstractNumId w:val="2"/>
  </w:num>
  <w:num w:numId="5">
    <w:abstractNumId w:val="17"/>
  </w:num>
  <w:num w:numId="6">
    <w:abstractNumId w:val="4"/>
  </w:num>
  <w:num w:numId="7">
    <w:abstractNumId w:val="9"/>
  </w:num>
  <w:num w:numId="8">
    <w:abstractNumId w:val="0"/>
  </w:num>
  <w:num w:numId="9">
    <w:abstractNumId w:val="23"/>
  </w:num>
  <w:num w:numId="10">
    <w:abstractNumId w:val="24"/>
  </w:num>
  <w:num w:numId="11">
    <w:abstractNumId w:val="15"/>
  </w:num>
  <w:num w:numId="12">
    <w:abstractNumId w:val="10"/>
  </w:num>
  <w:num w:numId="13">
    <w:abstractNumId w:val="20"/>
  </w:num>
  <w:num w:numId="14">
    <w:abstractNumId w:val="1"/>
  </w:num>
  <w:num w:numId="15">
    <w:abstractNumId w:val="8"/>
  </w:num>
  <w:num w:numId="16">
    <w:abstractNumId w:val="22"/>
  </w:num>
  <w:num w:numId="17">
    <w:abstractNumId w:val="18"/>
  </w:num>
  <w:num w:numId="18">
    <w:abstractNumId w:val="5"/>
  </w:num>
  <w:num w:numId="19">
    <w:abstractNumId w:val="6"/>
  </w:num>
  <w:num w:numId="20">
    <w:abstractNumId w:val="21"/>
  </w:num>
  <w:num w:numId="21">
    <w:abstractNumId w:val="7"/>
  </w:num>
  <w:num w:numId="22">
    <w:abstractNumId w:val="3"/>
  </w:num>
  <w:num w:numId="23">
    <w:abstractNumId w:val="19"/>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2CC3"/>
    <w:rsid w:val="00134EC2"/>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81A"/>
    <w:rsid w:val="002F4FDE"/>
    <w:rsid w:val="00314FA6"/>
    <w:rsid w:val="003210EA"/>
    <w:rsid w:val="00327B8D"/>
    <w:rsid w:val="00337293"/>
    <w:rsid w:val="00352EF6"/>
    <w:rsid w:val="003741B0"/>
    <w:rsid w:val="00387E32"/>
    <w:rsid w:val="00390F15"/>
    <w:rsid w:val="003951C5"/>
    <w:rsid w:val="003974C7"/>
    <w:rsid w:val="003B0E9A"/>
    <w:rsid w:val="003B203D"/>
    <w:rsid w:val="003C6ADB"/>
    <w:rsid w:val="003D6480"/>
    <w:rsid w:val="003E7850"/>
    <w:rsid w:val="003F2FFF"/>
    <w:rsid w:val="00421CA7"/>
    <w:rsid w:val="00422194"/>
    <w:rsid w:val="00435B19"/>
    <w:rsid w:val="004444EC"/>
    <w:rsid w:val="00446C64"/>
    <w:rsid w:val="004473B3"/>
    <w:rsid w:val="004530F7"/>
    <w:rsid w:val="00461AF1"/>
    <w:rsid w:val="004B65BE"/>
    <w:rsid w:val="004C6D2D"/>
    <w:rsid w:val="004D29F6"/>
    <w:rsid w:val="004D733F"/>
    <w:rsid w:val="004E0544"/>
    <w:rsid w:val="004F341A"/>
    <w:rsid w:val="004F5E87"/>
    <w:rsid w:val="00545539"/>
    <w:rsid w:val="0055124A"/>
    <w:rsid w:val="005535AD"/>
    <w:rsid w:val="00574D1C"/>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0668"/>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1F7"/>
    <w:rsid w:val="0077721C"/>
    <w:rsid w:val="0078196D"/>
    <w:rsid w:val="007A2723"/>
    <w:rsid w:val="007A7156"/>
    <w:rsid w:val="007B4D57"/>
    <w:rsid w:val="007C47DF"/>
    <w:rsid w:val="007C52CB"/>
    <w:rsid w:val="007C52F4"/>
    <w:rsid w:val="007C5D33"/>
    <w:rsid w:val="007C6893"/>
    <w:rsid w:val="007D044B"/>
    <w:rsid w:val="007D247B"/>
    <w:rsid w:val="007E757E"/>
    <w:rsid w:val="007E7C83"/>
    <w:rsid w:val="007F5B78"/>
    <w:rsid w:val="007F639D"/>
    <w:rsid w:val="00813540"/>
    <w:rsid w:val="00815992"/>
    <w:rsid w:val="00834BCD"/>
    <w:rsid w:val="008516BB"/>
    <w:rsid w:val="00851FAC"/>
    <w:rsid w:val="0086541D"/>
    <w:rsid w:val="00884343"/>
    <w:rsid w:val="00893CA2"/>
    <w:rsid w:val="008A1017"/>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A3B85"/>
    <w:rsid w:val="009A5982"/>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B7C6D"/>
    <w:rsid w:val="00CC3AD7"/>
    <w:rsid w:val="00CD6F2F"/>
    <w:rsid w:val="00CE0700"/>
    <w:rsid w:val="00CE368A"/>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634E5"/>
    <w:rsid w:val="00E72835"/>
    <w:rsid w:val="00E73B6D"/>
    <w:rsid w:val="00E92B32"/>
    <w:rsid w:val="00EC2A57"/>
    <w:rsid w:val="00EE1E7A"/>
    <w:rsid w:val="00EE539F"/>
    <w:rsid w:val="00F14240"/>
    <w:rsid w:val="00F2600B"/>
    <w:rsid w:val="00F32E0A"/>
    <w:rsid w:val="00F43C79"/>
    <w:rsid w:val="00F55735"/>
    <w:rsid w:val="00F70EB6"/>
    <w:rsid w:val="00F836A7"/>
    <w:rsid w:val="00FA2BC7"/>
    <w:rsid w:val="00FA2CE6"/>
    <w:rsid w:val="00FA4DE3"/>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5787"/>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2021-10-12T10:42:00Z</cp:lastPrinted>
  <dcterms:created xsi:type="dcterms:W3CDTF">2023-02-07T18:00:00Z</dcterms:created>
  <dcterms:modified xsi:type="dcterms:W3CDTF">2023-02-07T18:38:00Z</dcterms:modified>
</cp:coreProperties>
</file>