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proofErr w:type="gramStart"/>
      <w:r w:rsidR="00446C64">
        <w:rPr>
          <w:b/>
          <w:sz w:val="32"/>
          <w:szCs w:val="32"/>
          <w:u w:val="single"/>
        </w:rPr>
        <w:t>3</w:t>
      </w:r>
      <w:r w:rsidR="008F7E80">
        <w:rPr>
          <w:b/>
          <w:sz w:val="32"/>
          <w:szCs w:val="32"/>
          <w:u w:val="single"/>
        </w:rPr>
        <w:t xml:space="preserve"> year</w:t>
      </w:r>
      <w:proofErr w:type="gramEnd"/>
      <w:r w:rsidR="008F7E80">
        <w:rPr>
          <w:b/>
          <w:sz w:val="32"/>
          <w:szCs w:val="32"/>
          <w:u w:val="single"/>
        </w:rPr>
        <w:t xml:space="preserve"> budget forecast r</w:t>
      </w:r>
      <w:r w:rsidRPr="00C611A6">
        <w:rPr>
          <w:b/>
          <w:sz w:val="32"/>
          <w:szCs w:val="32"/>
          <w:u w:val="single"/>
        </w:rPr>
        <w:t xml:space="preserve">eport </w:t>
      </w:r>
    </w:p>
    <w:p w:rsidR="00CB7C6D" w:rsidRPr="00C611A6" w:rsidRDefault="00BC4CA7" w:rsidP="00CB7C6D">
      <w:pPr>
        <w:jc w:val="center"/>
        <w:rPr>
          <w:b/>
          <w:sz w:val="32"/>
          <w:szCs w:val="32"/>
          <w:u w:val="single"/>
        </w:rPr>
      </w:pPr>
      <w:r>
        <w:rPr>
          <w:b/>
          <w:sz w:val="32"/>
          <w:szCs w:val="32"/>
          <w:u w:val="single"/>
        </w:rPr>
        <w:t>June</w:t>
      </w:r>
      <w:r w:rsidR="00CB7C6D">
        <w:rPr>
          <w:b/>
          <w:sz w:val="32"/>
          <w:szCs w:val="32"/>
          <w:u w:val="single"/>
        </w:rPr>
        <w:t xml:space="preserve"> 2023</w:t>
      </w:r>
    </w:p>
    <w:p w:rsidR="008F7E80" w:rsidRDefault="008F7E80"/>
    <w:p w:rsidR="004444EC" w:rsidRDefault="004444EC"/>
    <w:p w:rsidR="00E16F3F" w:rsidRDefault="007771F7">
      <w:r>
        <w:t>The 2022-23</w:t>
      </w:r>
      <w:r w:rsidR="00E16F3F">
        <w:t xml:space="preserve"> Budget column shows figures as per the original budget.</w:t>
      </w:r>
    </w:p>
    <w:p w:rsidR="00E16F3F" w:rsidRDefault="00E16F3F"/>
    <w:p w:rsidR="004444EC" w:rsidRDefault="007771F7">
      <w:r>
        <w:t>The 2022-23</w:t>
      </w:r>
      <w:r w:rsidR="00E16F3F">
        <w:t xml:space="preserve"> Updated column includes </w:t>
      </w:r>
      <w:proofErr w:type="spellStart"/>
      <w:r w:rsidR="00E16F3F">
        <w:t>virements</w:t>
      </w:r>
      <w:proofErr w:type="spellEnd"/>
      <w:r w:rsidR="00E16F3F">
        <w:t xml:space="preserve"> and variations that are included in the</w:t>
      </w:r>
      <w:r w:rsidR="005B1A7C">
        <w:t xml:space="preserve"> Budget position report for </w:t>
      </w:r>
      <w:r w:rsidR="009961AB">
        <w:t>May</w:t>
      </w:r>
      <w:r>
        <w:t xml:space="preserve"> 2023</w:t>
      </w:r>
      <w:r w:rsidR="00E16F3F">
        <w:t xml:space="preserve"> </w:t>
      </w:r>
    </w:p>
    <w:p w:rsidR="00DE3421" w:rsidRDefault="00DE3421"/>
    <w:p w:rsidR="00DE3421" w:rsidRDefault="00DE3421">
      <w:r>
        <w:t>The 2023-24 column is as per the draft budget.</w:t>
      </w:r>
    </w:p>
    <w:p w:rsidR="00195329" w:rsidRPr="007F5B78" w:rsidRDefault="00195329">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 xml:space="preserve">The </w:t>
      </w:r>
      <w:r w:rsidRPr="00F07490">
        <w:t>following general</w:t>
      </w:r>
      <w:r w:rsidRPr="00D95449">
        <w:t xml:space="preserve"> conditions and assumptions have been used for this forecast:</w:t>
      </w:r>
    </w:p>
    <w:p w:rsidR="00596B3F" w:rsidRPr="00D95449" w:rsidRDefault="00596B3F" w:rsidP="00596B3F"/>
    <w:p w:rsidR="0000030D" w:rsidRDefault="00F57F33" w:rsidP="00935165">
      <w:pPr>
        <w:pStyle w:val="ListParagraph"/>
        <w:numPr>
          <w:ilvl w:val="0"/>
          <w:numId w:val="4"/>
        </w:numPr>
      </w:pPr>
      <w:r>
        <w:t>Teacher pay rises forecast at 3% for Sept 2023</w:t>
      </w:r>
    </w:p>
    <w:p w:rsidR="00F57F33" w:rsidRDefault="00F57F33" w:rsidP="00935165">
      <w:pPr>
        <w:pStyle w:val="ListParagraph"/>
        <w:numPr>
          <w:ilvl w:val="0"/>
          <w:numId w:val="4"/>
        </w:numPr>
      </w:pPr>
      <w:r>
        <w:t>Support Staff pay rises forecast at 3% for April 2023 and 3% for April 2024</w:t>
      </w:r>
    </w:p>
    <w:p w:rsidR="00F57F33" w:rsidRPr="00D95449" w:rsidRDefault="00F57F33" w:rsidP="00935165">
      <w:pPr>
        <w:pStyle w:val="ListParagraph"/>
        <w:numPr>
          <w:ilvl w:val="0"/>
          <w:numId w:val="4"/>
        </w:numPr>
      </w:pPr>
      <w:r>
        <w:t>Forecast based on admitting 180 into Year 12 in Sept 2023</w:t>
      </w:r>
    </w:p>
    <w:p w:rsidR="00A14F74" w:rsidRDefault="007D247B" w:rsidP="007D247B">
      <w:pPr>
        <w:pStyle w:val="ListParagraph"/>
        <w:numPr>
          <w:ilvl w:val="0"/>
          <w:numId w:val="4"/>
        </w:numPr>
      </w:pPr>
      <w:r>
        <w:t xml:space="preserve">Assumed a loss of </w:t>
      </w:r>
      <w:r w:rsidR="003B203D" w:rsidRPr="00D95449">
        <w:t>5% of students between Yr12 and Yr13 each year</w:t>
      </w:r>
      <w:r>
        <w:t xml:space="preserve"> to reflect the larger % of internal students admitted which will hopefully minimise movement</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660668" w:rsidRDefault="00660668" w:rsidP="00E92B32"/>
    <w:p w:rsidR="00DE3421" w:rsidRDefault="00DE3421" w:rsidP="00DE3421">
      <w:pPr>
        <w:pStyle w:val="ListParagraph"/>
        <w:numPr>
          <w:ilvl w:val="0"/>
          <w:numId w:val="24"/>
        </w:numPr>
      </w:pPr>
      <w:r>
        <w:t>General Annual Grant forecast for 2024-25 - rates increased by 4% estimate based on increase in Pupil funding rate increase between 2022-23 and 2023-24.</w:t>
      </w:r>
    </w:p>
    <w:p w:rsidR="00596B3F" w:rsidRDefault="00DE3421" w:rsidP="00DE3421">
      <w:pPr>
        <w:pStyle w:val="ListParagraph"/>
        <w:numPr>
          <w:ilvl w:val="0"/>
          <w:numId w:val="24"/>
        </w:numPr>
      </w:pPr>
      <w:r>
        <w:t>Mainstream schools additional shown in 2024-25 as it is planned to be rolled into General Annual Grant funding</w:t>
      </w:r>
    </w:p>
    <w:p w:rsidR="00DE3421" w:rsidRDefault="00D72A30" w:rsidP="00DE3421">
      <w:pPr>
        <w:pStyle w:val="ListParagraph"/>
        <w:numPr>
          <w:ilvl w:val="0"/>
          <w:numId w:val="24"/>
        </w:numPr>
      </w:pPr>
      <w:r>
        <w:t xml:space="preserve">Other ESFA Grants - </w:t>
      </w:r>
      <w:r w:rsidR="00DE3421">
        <w:t>6</w:t>
      </w:r>
      <w:r w:rsidR="00DE3421" w:rsidRPr="00DE3421">
        <w:rPr>
          <w:vertAlign w:val="superscript"/>
        </w:rPr>
        <w:t>th</w:t>
      </w:r>
      <w:r w:rsidR="00DE3421">
        <w:t xml:space="preserve"> form funding drops by (£170k) between 23-24 and 24-25 to reflect the reduction in pupil numbers funded based on forecast for numbers in 2023-24</w:t>
      </w:r>
    </w:p>
    <w:p w:rsidR="00DE3421" w:rsidRDefault="00DE3421" w:rsidP="00DE3421">
      <w:pPr>
        <w:pStyle w:val="ListParagraph"/>
        <w:numPr>
          <w:ilvl w:val="1"/>
          <w:numId w:val="24"/>
        </w:numPr>
      </w:pPr>
      <w:r>
        <w:t>This can be mitigated to some extent if we admit more into year 12 in Sept 2023</w:t>
      </w:r>
    </w:p>
    <w:p w:rsidR="00D72A30" w:rsidRDefault="00D72A30" w:rsidP="00D72A30">
      <w:pPr>
        <w:pStyle w:val="ListParagraph"/>
        <w:numPr>
          <w:ilvl w:val="0"/>
          <w:numId w:val="24"/>
        </w:numPr>
      </w:pPr>
      <w:r>
        <w:t xml:space="preserve">Other ESFA grants – drops by (£50k) </w:t>
      </w:r>
      <w:r>
        <w:t>between 23-24 and 24-25 to reflect the</w:t>
      </w:r>
      <w:r>
        <w:t xml:space="preserve"> removal of the recovery grant which ends in 2023-24. Expenditure for pupil premium/recovery grant has been reduced to reflect this.</w:t>
      </w:r>
    </w:p>
    <w:p w:rsidR="00DE3421" w:rsidRPr="00D95449" w:rsidRDefault="00DE3421" w:rsidP="00DE3421"/>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D72A30" w:rsidRDefault="00D72A30" w:rsidP="00596B3F">
      <w:pPr>
        <w:pStyle w:val="ListParagraph"/>
        <w:numPr>
          <w:ilvl w:val="0"/>
          <w:numId w:val="6"/>
        </w:numPr>
      </w:pPr>
      <w:r>
        <w:t>Energy expenditure between 2022-23 and 2023-24 shows a huge reduction to reflect the updated contracts that have been signed at much lower rates.</w:t>
      </w:r>
    </w:p>
    <w:p w:rsidR="008A1017" w:rsidRDefault="008A1017" w:rsidP="00596B3F">
      <w:pPr>
        <w:pStyle w:val="ListParagraph"/>
        <w:numPr>
          <w:ilvl w:val="0"/>
          <w:numId w:val="6"/>
        </w:numPr>
      </w:pPr>
      <w:r>
        <w:t>Teachers pay award for Sept 2</w:t>
      </w:r>
      <w:r w:rsidR="009A5982">
        <w:t>02</w:t>
      </w:r>
      <w:r w:rsidR="007D247B">
        <w:t>3</w:t>
      </w:r>
      <w:r w:rsidR="00FA4DE3">
        <w:t xml:space="preserve"> and Sept 2024</w:t>
      </w:r>
      <w:r>
        <w:t xml:space="preserve"> </w:t>
      </w:r>
      <w:r w:rsidR="00DE3421">
        <w:t>forecast at 3</w:t>
      </w:r>
      <w:r w:rsidR="00FA4DE3">
        <w:t>%</w:t>
      </w:r>
      <w:r w:rsidR="009A5982">
        <w:t>.</w:t>
      </w:r>
    </w:p>
    <w:p w:rsidR="00DE3421" w:rsidRDefault="00DE3421" w:rsidP="00596B3F">
      <w:pPr>
        <w:pStyle w:val="ListParagraph"/>
        <w:numPr>
          <w:ilvl w:val="0"/>
          <w:numId w:val="6"/>
        </w:numPr>
      </w:pPr>
      <w:r>
        <w:t>Support staff pay award for April 2023 and April 2024 both forecast at 3%</w:t>
      </w:r>
    </w:p>
    <w:p w:rsidR="00DE3421" w:rsidRDefault="00DE3421" w:rsidP="00596B3F">
      <w:pPr>
        <w:pStyle w:val="ListParagraph"/>
        <w:numPr>
          <w:ilvl w:val="0"/>
          <w:numId w:val="6"/>
        </w:numPr>
      </w:pPr>
      <w:r>
        <w:lastRenderedPageBreak/>
        <w:t>Other staff costs reduced in 2024-25 compared to 2023-24 as fewer buyouts have been forecast.</w:t>
      </w:r>
    </w:p>
    <w:p w:rsidR="00DE3421" w:rsidRDefault="00D72A30" w:rsidP="00596B3F">
      <w:pPr>
        <w:pStyle w:val="ListParagraph"/>
        <w:numPr>
          <w:ilvl w:val="0"/>
          <w:numId w:val="6"/>
        </w:numPr>
      </w:pPr>
      <w:r>
        <w:t>Education Support Supplies and services – Pupil premium/recovery grant reduced expenditure shown. (this can also be seen in the pupil premium transfers to other cost centres figure).</w:t>
      </w:r>
    </w:p>
    <w:p w:rsidR="00EC2A57" w:rsidRDefault="00EC2A57" w:rsidP="00DE3421">
      <w:pPr>
        <w:ind w:left="360"/>
        <w:rPr>
          <w:b/>
          <w:u w:val="single"/>
        </w:rPr>
      </w:pPr>
    </w:p>
    <w:p w:rsidR="00DE3421" w:rsidRPr="00DE3421" w:rsidRDefault="00DE3421" w:rsidP="00DE3421">
      <w:pPr>
        <w:ind w:left="360"/>
        <w:rPr>
          <w:b/>
          <w:u w:val="single"/>
        </w:rPr>
      </w:pPr>
    </w:p>
    <w:p w:rsidR="0067424F" w:rsidRPr="0067424F" w:rsidRDefault="0067424F" w:rsidP="0067424F">
      <w:pPr>
        <w:rPr>
          <w:b/>
          <w:u w:val="single"/>
        </w:rPr>
      </w:pPr>
      <w:r w:rsidRPr="0067424F">
        <w:rPr>
          <w:b/>
          <w:u w:val="single"/>
        </w:rPr>
        <w:t>Summary</w:t>
      </w:r>
    </w:p>
    <w:p w:rsidR="005C00FC" w:rsidRDefault="005C00FC" w:rsidP="0067424F"/>
    <w:p w:rsidR="00F836A7" w:rsidRDefault="00515BEF" w:rsidP="009B7A94">
      <w:pPr>
        <w:pStyle w:val="ListParagraph"/>
        <w:ind w:left="0"/>
      </w:pPr>
      <w:r w:rsidRPr="00515BEF">
        <w:t xml:space="preserve">The </w:t>
      </w:r>
      <w:r>
        <w:t>balanced in year budget for 2023-24 is very good news and provides us with a decent reserves position to mitigate possible risks that may impact next year.</w:t>
      </w:r>
    </w:p>
    <w:p w:rsidR="00515BEF" w:rsidRDefault="00515BEF" w:rsidP="009B7A94">
      <w:pPr>
        <w:pStyle w:val="ListParagraph"/>
        <w:ind w:left="0"/>
      </w:pPr>
    </w:p>
    <w:p w:rsidR="00515BEF" w:rsidRPr="00515BEF" w:rsidRDefault="00515BEF" w:rsidP="009B7A94">
      <w:pPr>
        <w:pStyle w:val="ListParagraph"/>
        <w:ind w:left="0"/>
      </w:pPr>
      <w:r>
        <w:t xml:space="preserve">The 2023-24 forecast </w:t>
      </w:r>
      <w:r w:rsidR="00144A5E">
        <w:t>in-</w:t>
      </w:r>
      <w:bookmarkStart w:id="0" w:name="_GoBack"/>
      <w:bookmarkEnd w:id="0"/>
      <w:r>
        <w:t>year deficit of (£200k) needs to be noted but could be mitigated with higher 6</w:t>
      </w:r>
      <w:r w:rsidRPr="00515BEF">
        <w:rPr>
          <w:vertAlign w:val="superscript"/>
        </w:rPr>
        <w:t>th</w:t>
      </w:r>
      <w:r>
        <w:t xml:space="preserve"> form numbers in 2023-24. Funding could also increase more than the 4% forecast and staffing opportunities may well present themselves throughout the year.</w:t>
      </w:r>
    </w:p>
    <w:p w:rsidR="00D72A30" w:rsidRDefault="00D72A30"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4530F7" w:rsidRDefault="004530F7" w:rsidP="00015FCB">
      <w:pPr>
        <w:pStyle w:val="ListParagraph"/>
        <w:numPr>
          <w:ilvl w:val="0"/>
          <w:numId w:val="7"/>
        </w:numPr>
      </w:pPr>
      <w:r>
        <w:t xml:space="preserve">Teachers and Support Staff pay awards </w:t>
      </w:r>
      <w:r w:rsidR="00314FA6">
        <w:t xml:space="preserve">are a risk depending on </w:t>
      </w:r>
      <w:r w:rsidR="00515BEF">
        <w:t>final agreement</w:t>
      </w:r>
      <w:r w:rsidR="00314FA6">
        <w:t xml:space="preserve"> and if they are funded or not</w:t>
      </w:r>
    </w:p>
    <w:p w:rsidR="00515BEF" w:rsidRDefault="00515BEF" w:rsidP="00015FCB">
      <w:pPr>
        <w:pStyle w:val="ListParagraph"/>
        <w:numPr>
          <w:ilvl w:val="0"/>
          <w:numId w:val="7"/>
        </w:numPr>
      </w:pPr>
      <w:r>
        <w:t>Impact of the holiday working pay ruling (Harper/</w:t>
      </w:r>
      <w:proofErr w:type="spellStart"/>
      <w:r>
        <w:t>Brazel</w:t>
      </w:r>
      <w:proofErr w:type="spellEnd"/>
      <w:r>
        <w:t>) is being calculated but is not known yet.</w:t>
      </w:r>
    </w:p>
    <w:p w:rsidR="00314FA6" w:rsidRDefault="00314FA6" w:rsidP="00015FCB">
      <w:pPr>
        <w:pStyle w:val="ListParagraph"/>
        <w:numPr>
          <w:ilvl w:val="0"/>
          <w:numId w:val="7"/>
        </w:numPr>
      </w:pPr>
      <w:r>
        <w:t>If we were to admit 200 into year 12 instead of 180, th</w:t>
      </w:r>
      <w:r w:rsidR="00515BEF">
        <w:t>ere is a possible additional £100</w:t>
      </w:r>
      <w:r>
        <w:t>k income in 2024-25 (this does come with some operational issues).</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68E1"/>
    <w:multiLevelType w:val="hybridMultilevel"/>
    <w:tmpl w:val="94D2B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E737A"/>
    <w:multiLevelType w:val="hybridMultilevel"/>
    <w:tmpl w:val="DA0ED68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4"/>
  </w:num>
  <w:num w:numId="2">
    <w:abstractNumId w:val="12"/>
  </w:num>
  <w:num w:numId="3">
    <w:abstractNumId w:val="16"/>
  </w:num>
  <w:num w:numId="4">
    <w:abstractNumId w:val="2"/>
  </w:num>
  <w:num w:numId="5">
    <w:abstractNumId w:val="17"/>
  </w:num>
  <w:num w:numId="6">
    <w:abstractNumId w:val="4"/>
  </w:num>
  <w:num w:numId="7">
    <w:abstractNumId w:val="9"/>
  </w:num>
  <w:num w:numId="8">
    <w:abstractNumId w:val="0"/>
  </w:num>
  <w:num w:numId="9">
    <w:abstractNumId w:val="23"/>
  </w:num>
  <w:num w:numId="10">
    <w:abstractNumId w:val="24"/>
  </w:num>
  <w:num w:numId="11">
    <w:abstractNumId w:val="15"/>
  </w:num>
  <w:num w:numId="12">
    <w:abstractNumId w:val="10"/>
  </w:num>
  <w:num w:numId="13">
    <w:abstractNumId w:val="20"/>
  </w:num>
  <w:num w:numId="14">
    <w:abstractNumId w:val="1"/>
  </w:num>
  <w:num w:numId="15">
    <w:abstractNumId w:val="8"/>
  </w:num>
  <w:num w:numId="16">
    <w:abstractNumId w:val="22"/>
  </w:num>
  <w:num w:numId="17">
    <w:abstractNumId w:val="18"/>
  </w:num>
  <w:num w:numId="18">
    <w:abstractNumId w:val="5"/>
  </w:num>
  <w:num w:numId="19">
    <w:abstractNumId w:val="6"/>
  </w:num>
  <w:num w:numId="20">
    <w:abstractNumId w:val="21"/>
  </w:num>
  <w:num w:numId="21">
    <w:abstractNumId w:val="7"/>
  </w:num>
  <w:num w:numId="22">
    <w:abstractNumId w:val="3"/>
  </w:num>
  <w:num w:numId="23">
    <w:abstractNumId w:val="19"/>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2CC3"/>
    <w:rsid w:val="00134EC2"/>
    <w:rsid w:val="00144A5E"/>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7DC"/>
    <w:rsid w:val="002F181A"/>
    <w:rsid w:val="002F4FDE"/>
    <w:rsid w:val="00314FA6"/>
    <w:rsid w:val="003210EA"/>
    <w:rsid w:val="00327B8D"/>
    <w:rsid w:val="00337293"/>
    <w:rsid w:val="00352EF6"/>
    <w:rsid w:val="003741B0"/>
    <w:rsid w:val="00387E32"/>
    <w:rsid w:val="00390F15"/>
    <w:rsid w:val="003951C5"/>
    <w:rsid w:val="003974C7"/>
    <w:rsid w:val="003B0E9A"/>
    <w:rsid w:val="003B203D"/>
    <w:rsid w:val="003C6ADB"/>
    <w:rsid w:val="003D6480"/>
    <w:rsid w:val="003E7850"/>
    <w:rsid w:val="003F2FFF"/>
    <w:rsid w:val="00421CA7"/>
    <w:rsid w:val="00422194"/>
    <w:rsid w:val="00435B19"/>
    <w:rsid w:val="004444EC"/>
    <w:rsid w:val="00446C64"/>
    <w:rsid w:val="004473B3"/>
    <w:rsid w:val="004530F7"/>
    <w:rsid w:val="00461AF1"/>
    <w:rsid w:val="004B65BE"/>
    <w:rsid w:val="004C6D2D"/>
    <w:rsid w:val="004D29F6"/>
    <w:rsid w:val="004D733F"/>
    <w:rsid w:val="004E0544"/>
    <w:rsid w:val="004F341A"/>
    <w:rsid w:val="004F5E87"/>
    <w:rsid w:val="00515BEF"/>
    <w:rsid w:val="00545539"/>
    <w:rsid w:val="0055124A"/>
    <w:rsid w:val="005535AD"/>
    <w:rsid w:val="00574D1C"/>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0668"/>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1F7"/>
    <w:rsid w:val="0077721C"/>
    <w:rsid w:val="0078196D"/>
    <w:rsid w:val="007A2723"/>
    <w:rsid w:val="007A7156"/>
    <w:rsid w:val="007B4D57"/>
    <w:rsid w:val="007C47DF"/>
    <w:rsid w:val="007C52CB"/>
    <w:rsid w:val="007C52F4"/>
    <w:rsid w:val="007C5D33"/>
    <w:rsid w:val="007C6893"/>
    <w:rsid w:val="007D044B"/>
    <w:rsid w:val="007D247B"/>
    <w:rsid w:val="007E757E"/>
    <w:rsid w:val="007E7C83"/>
    <w:rsid w:val="007F5B78"/>
    <w:rsid w:val="007F639D"/>
    <w:rsid w:val="00813540"/>
    <w:rsid w:val="00815992"/>
    <w:rsid w:val="00834BCD"/>
    <w:rsid w:val="008516BB"/>
    <w:rsid w:val="00851FAC"/>
    <w:rsid w:val="0086541D"/>
    <w:rsid w:val="00884343"/>
    <w:rsid w:val="00893CA2"/>
    <w:rsid w:val="008A1017"/>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961AB"/>
    <w:rsid w:val="009A3B85"/>
    <w:rsid w:val="009A5982"/>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C4CA7"/>
    <w:rsid w:val="00BF7E4A"/>
    <w:rsid w:val="00C44BDC"/>
    <w:rsid w:val="00C47454"/>
    <w:rsid w:val="00C611A6"/>
    <w:rsid w:val="00C62589"/>
    <w:rsid w:val="00C6284F"/>
    <w:rsid w:val="00C67465"/>
    <w:rsid w:val="00C842E6"/>
    <w:rsid w:val="00C878E4"/>
    <w:rsid w:val="00CB7C6D"/>
    <w:rsid w:val="00CC3AD7"/>
    <w:rsid w:val="00CD6F2F"/>
    <w:rsid w:val="00CE0700"/>
    <w:rsid w:val="00CE368A"/>
    <w:rsid w:val="00D02342"/>
    <w:rsid w:val="00D1033B"/>
    <w:rsid w:val="00D17D7F"/>
    <w:rsid w:val="00D42202"/>
    <w:rsid w:val="00D43E3E"/>
    <w:rsid w:val="00D46EDF"/>
    <w:rsid w:val="00D6217B"/>
    <w:rsid w:val="00D72A30"/>
    <w:rsid w:val="00D855BA"/>
    <w:rsid w:val="00D904F6"/>
    <w:rsid w:val="00D91AA4"/>
    <w:rsid w:val="00D95449"/>
    <w:rsid w:val="00D95A6C"/>
    <w:rsid w:val="00D97A68"/>
    <w:rsid w:val="00DB20D8"/>
    <w:rsid w:val="00DC2BC7"/>
    <w:rsid w:val="00DC713B"/>
    <w:rsid w:val="00DE3421"/>
    <w:rsid w:val="00DF0B83"/>
    <w:rsid w:val="00E16F3F"/>
    <w:rsid w:val="00E31995"/>
    <w:rsid w:val="00E373F6"/>
    <w:rsid w:val="00E43795"/>
    <w:rsid w:val="00E634E5"/>
    <w:rsid w:val="00E72835"/>
    <w:rsid w:val="00E73B6D"/>
    <w:rsid w:val="00E92B32"/>
    <w:rsid w:val="00EC2A57"/>
    <w:rsid w:val="00EE1E7A"/>
    <w:rsid w:val="00EE539F"/>
    <w:rsid w:val="00F07490"/>
    <w:rsid w:val="00F14240"/>
    <w:rsid w:val="00F2600B"/>
    <w:rsid w:val="00F32E0A"/>
    <w:rsid w:val="00F43C79"/>
    <w:rsid w:val="00F55735"/>
    <w:rsid w:val="00F57F33"/>
    <w:rsid w:val="00F70EB6"/>
    <w:rsid w:val="00F836A7"/>
    <w:rsid w:val="00FA2BC7"/>
    <w:rsid w:val="00FA2CE6"/>
    <w:rsid w:val="00FA4DE3"/>
    <w:rsid w:val="00FA6D89"/>
    <w:rsid w:val="00FB439B"/>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C203"/>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10</cp:revision>
  <cp:lastPrinted>2021-10-12T10:42:00Z</cp:lastPrinted>
  <dcterms:created xsi:type="dcterms:W3CDTF">2023-02-07T18:00:00Z</dcterms:created>
  <dcterms:modified xsi:type="dcterms:W3CDTF">2023-06-26T17:40:00Z</dcterms:modified>
</cp:coreProperties>
</file>