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97" w:rsidRDefault="00DF0B83" w:rsidP="00FC2A97">
      <w:pPr>
        <w:jc w:val="center"/>
        <w:rPr>
          <w:b/>
          <w:sz w:val="32"/>
          <w:szCs w:val="32"/>
          <w:u w:val="single"/>
        </w:rPr>
      </w:pPr>
      <w:r w:rsidRPr="00C611A6">
        <w:rPr>
          <w:b/>
          <w:sz w:val="32"/>
          <w:szCs w:val="32"/>
          <w:u w:val="single"/>
        </w:rPr>
        <w:t xml:space="preserve">Narrative for </w:t>
      </w:r>
      <w:proofErr w:type="gramStart"/>
      <w:r w:rsidR="00062F9C">
        <w:rPr>
          <w:b/>
          <w:sz w:val="32"/>
          <w:szCs w:val="32"/>
          <w:u w:val="single"/>
        </w:rPr>
        <w:t>5</w:t>
      </w:r>
      <w:r w:rsidR="008F7E80">
        <w:rPr>
          <w:b/>
          <w:sz w:val="32"/>
          <w:szCs w:val="32"/>
          <w:u w:val="single"/>
        </w:rPr>
        <w:t xml:space="preserve"> year</w:t>
      </w:r>
      <w:proofErr w:type="gramEnd"/>
      <w:r w:rsidR="008F7E80">
        <w:rPr>
          <w:b/>
          <w:sz w:val="32"/>
          <w:szCs w:val="32"/>
          <w:u w:val="single"/>
        </w:rPr>
        <w:t xml:space="preserve"> budget forecast r</w:t>
      </w:r>
      <w:r w:rsidRPr="00C611A6">
        <w:rPr>
          <w:b/>
          <w:sz w:val="32"/>
          <w:szCs w:val="32"/>
          <w:u w:val="single"/>
        </w:rPr>
        <w:t xml:space="preserve">eport </w:t>
      </w:r>
    </w:p>
    <w:p w:rsidR="002B7AE1" w:rsidRPr="00C611A6" w:rsidRDefault="009304A0" w:rsidP="002B7AE1">
      <w:pPr>
        <w:jc w:val="center"/>
        <w:rPr>
          <w:b/>
          <w:sz w:val="32"/>
          <w:szCs w:val="32"/>
          <w:u w:val="single"/>
        </w:rPr>
      </w:pPr>
      <w:r>
        <w:rPr>
          <w:b/>
          <w:sz w:val="32"/>
          <w:szCs w:val="32"/>
          <w:u w:val="single"/>
        </w:rPr>
        <w:t>Nov</w:t>
      </w:r>
      <w:r w:rsidR="002B7AE1">
        <w:rPr>
          <w:b/>
          <w:sz w:val="32"/>
          <w:szCs w:val="32"/>
          <w:u w:val="single"/>
        </w:rPr>
        <w:t xml:space="preserve"> 2021</w:t>
      </w:r>
    </w:p>
    <w:p w:rsidR="008F7E80" w:rsidRDefault="008F7E80"/>
    <w:p w:rsidR="004444EC" w:rsidRDefault="004444EC"/>
    <w:p w:rsidR="00E16F3F" w:rsidRDefault="00E16F3F">
      <w:r>
        <w:t>The 2021-22 Budget column shows figures as per the original budget.</w:t>
      </w:r>
    </w:p>
    <w:p w:rsidR="00E16F3F" w:rsidRDefault="00E16F3F"/>
    <w:p w:rsidR="004444EC" w:rsidRDefault="00E16F3F">
      <w:r>
        <w:t xml:space="preserve">The 2021-22 Updated column includes </w:t>
      </w:r>
      <w:proofErr w:type="spellStart"/>
      <w:r>
        <w:t>virements</w:t>
      </w:r>
      <w:proofErr w:type="spellEnd"/>
      <w:r>
        <w:t xml:space="preserve"> and variations that are included in the</w:t>
      </w:r>
      <w:r w:rsidR="005B1A7C">
        <w:t xml:space="preserve"> Budget position report for Nov</w:t>
      </w:r>
      <w:r>
        <w:t xml:space="preserve"> 21. </w:t>
      </w:r>
    </w:p>
    <w:p w:rsidR="003741B0" w:rsidRDefault="003741B0"/>
    <w:p w:rsidR="00C6284F" w:rsidRDefault="00461AF1">
      <w:r>
        <w:t xml:space="preserve">This forecast </w:t>
      </w:r>
      <w:r w:rsidR="00195329">
        <w:t>is directly comparable to the “Model 2” version which was presented at the last meeting and agreed to be the most reasonable representation of likely positions.</w:t>
      </w:r>
    </w:p>
    <w:p w:rsidR="00390F15" w:rsidRDefault="00390F15"/>
    <w:p w:rsidR="00195329" w:rsidRPr="007F5B78" w:rsidRDefault="00195329">
      <w:pPr>
        <w:rPr>
          <w:b/>
          <w:highlight w:val="yellow"/>
          <w:u w:val="single"/>
        </w:rPr>
      </w:pPr>
      <w:bookmarkStart w:id="0" w:name="_GoBack"/>
      <w:bookmarkEnd w:id="0"/>
    </w:p>
    <w:p w:rsidR="00596B3F" w:rsidRPr="007C52F4" w:rsidRDefault="00CC3AD7" w:rsidP="00596B3F">
      <w:pPr>
        <w:rPr>
          <w:b/>
          <w:u w:val="single"/>
        </w:rPr>
      </w:pPr>
      <w:r w:rsidRPr="007C52F4">
        <w:rPr>
          <w:b/>
          <w:u w:val="single"/>
        </w:rPr>
        <w:t>General Comments</w:t>
      </w:r>
      <w:r w:rsidR="00A6079D" w:rsidRPr="007C52F4">
        <w:rPr>
          <w:b/>
          <w:u w:val="single"/>
        </w:rPr>
        <w:t xml:space="preserve"> </w:t>
      </w:r>
    </w:p>
    <w:p w:rsidR="000A757B" w:rsidRPr="007F5B78" w:rsidRDefault="000A757B" w:rsidP="00596B3F">
      <w:pPr>
        <w:rPr>
          <w:highlight w:val="yellow"/>
        </w:rPr>
      </w:pPr>
    </w:p>
    <w:p w:rsidR="00596B3F" w:rsidRPr="00D95449" w:rsidRDefault="00596B3F" w:rsidP="00596B3F">
      <w:r w:rsidRPr="00D95449">
        <w:t>The following general conditions and assumptions have been used for this forecast:</w:t>
      </w:r>
    </w:p>
    <w:p w:rsidR="00596B3F" w:rsidRPr="00D95449" w:rsidRDefault="00596B3F" w:rsidP="00596B3F"/>
    <w:p w:rsidR="00A96390" w:rsidRPr="00D95449" w:rsidRDefault="00A96390" w:rsidP="00596B3F">
      <w:pPr>
        <w:pStyle w:val="ListParagraph"/>
        <w:numPr>
          <w:ilvl w:val="0"/>
          <w:numId w:val="4"/>
        </w:numPr>
      </w:pPr>
      <w:proofErr w:type="spellStart"/>
      <w:r w:rsidRPr="00D95449">
        <w:t>Teachers</w:t>
      </w:r>
      <w:proofErr w:type="spellEnd"/>
      <w:r w:rsidRPr="00D95449">
        <w:t xml:space="preserve"> pension </w:t>
      </w:r>
      <w:r w:rsidR="003741B0">
        <w:t xml:space="preserve">and pay </w:t>
      </w:r>
      <w:r w:rsidR="00B02956" w:rsidRPr="00D95449">
        <w:t>grant</w:t>
      </w:r>
      <w:r w:rsidR="003741B0">
        <w:t>s</w:t>
      </w:r>
      <w:r w:rsidR="00B02956" w:rsidRPr="00D95449">
        <w:t xml:space="preserve"> </w:t>
      </w:r>
      <w:r w:rsidR="00974433" w:rsidRPr="00D95449">
        <w:t xml:space="preserve">will </w:t>
      </w:r>
      <w:r w:rsidR="003741B0">
        <w:t>be paid this year for the 6</w:t>
      </w:r>
      <w:r w:rsidR="003741B0" w:rsidRPr="003741B0">
        <w:rPr>
          <w:vertAlign w:val="superscript"/>
        </w:rPr>
        <w:t>th</w:t>
      </w:r>
      <w:r w:rsidR="003741B0">
        <w:t xml:space="preserve"> form numbers only.</w:t>
      </w:r>
    </w:p>
    <w:p w:rsidR="0000030D" w:rsidRPr="00D95449" w:rsidRDefault="00D95449" w:rsidP="00596B3F">
      <w:pPr>
        <w:pStyle w:val="ListParagraph"/>
        <w:numPr>
          <w:ilvl w:val="0"/>
          <w:numId w:val="4"/>
        </w:numPr>
      </w:pPr>
      <w:r w:rsidRPr="00D95449">
        <w:t xml:space="preserve">Pupil numbers </w:t>
      </w:r>
      <w:r w:rsidR="00A14F74">
        <w:t>have been updated to reflect current on roll as at Sept 2021 and intakes of 240 in year 7 and 180 in year 12 each year.</w:t>
      </w:r>
    </w:p>
    <w:p w:rsidR="003B203D" w:rsidRDefault="003B203D" w:rsidP="003B203D">
      <w:pPr>
        <w:pStyle w:val="ListParagraph"/>
        <w:numPr>
          <w:ilvl w:val="0"/>
          <w:numId w:val="4"/>
        </w:numPr>
      </w:pPr>
      <w:r w:rsidRPr="00D95449">
        <w:t>Assumed a loss of 15% of students between Yr12 and Yr13 each year</w:t>
      </w:r>
    </w:p>
    <w:p w:rsidR="00A14F74" w:rsidRPr="00D95449" w:rsidRDefault="00A14F74" w:rsidP="003B203D">
      <w:pPr>
        <w:pStyle w:val="ListParagraph"/>
        <w:numPr>
          <w:ilvl w:val="0"/>
          <w:numId w:val="4"/>
        </w:numPr>
      </w:pPr>
      <w:r>
        <w:t>Total pupil numbers should track as close to our Net Capacity of 1499 as possible</w:t>
      </w:r>
    </w:p>
    <w:p w:rsidR="000F28D8" w:rsidRPr="007F5B78" w:rsidRDefault="000F28D8">
      <w:pPr>
        <w:rPr>
          <w:b/>
          <w:highlight w:val="yellow"/>
          <w:u w:val="single"/>
        </w:rPr>
      </w:pPr>
    </w:p>
    <w:p w:rsidR="00697747" w:rsidRPr="00D95449" w:rsidRDefault="00697747">
      <w:pPr>
        <w:rPr>
          <w:b/>
          <w:u w:val="single"/>
        </w:rPr>
      </w:pPr>
      <w:r w:rsidRPr="00D95449">
        <w:rPr>
          <w:b/>
          <w:u w:val="single"/>
        </w:rPr>
        <w:t>Income</w:t>
      </w:r>
    </w:p>
    <w:p w:rsidR="00697747" w:rsidRPr="00D95449" w:rsidRDefault="00697747"/>
    <w:p w:rsidR="009B7A94" w:rsidRPr="00D95449" w:rsidRDefault="00893CA2" w:rsidP="00E92B32">
      <w:r w:rsidRPr="00D95449">
        <w:t>The following</w:t>
      </w:r>
      <w:r w:rsidR="00FF29B1" w:rsidRPr="00D95449">
        <w:t xml:space="preserve"> key conditions and assumptions </w:t>
      </w:r>
      <w:r w:rsidR="00676181" w:rsidRPr="00D95449">
        <w:t xml:space="preserve">have been </w:t>
      </w:r>
      <w:r w:rsidR="00FF29B1" w:rsidRPr="00D95449">
        <w:t>used for forecasting income</w:t>
      </w:r>
      <w:r w:rsidR="00E92B32" w:rsidRPr="00D95449">
        <w:t>.</w:t>
      </w:r>
    </w:p>
    <w:p w:rsidR="00596B3F" w:rsidRPr="00D95449" w:rsidRDefault="00596B3F" w:rsidP="009B7A94">
      <w:pPr>
        <w:pStyle w:val="ListParagraph"/>
      </w:pPr>
    </w:p>
    <w:p w:rsidR="00CD6F2F" w:rsidRDefault="00A14F74" w:rsidP="00596B3F">
      <w:pPr>
        <w:pStyle w:val="ListParagraph"/>
        <w:numPr>
          <w:ilvl w:val="0"/>
          <w:numId w:val="5"/>
        </w:numPr>
      </w:pPr>
      <w:r>
        <w:t>2021-22 Year 12 larger intake of 215 results in inflated funding for 2022-23 and 2023-24 with a steep drop off in 2024-25 as numbers settle to our target</w:t>
      </w:r>
    </w:p>
    <w:p w:rsidR="00A55051" w:rsidRDefault="00A55051" w:rsidP="00A55051">
      <w:pPr>
        <w:pStyle w:val="ListParagraph"/>
        <w:numPr>
          <w:ilvl w:val="0"/>
          <w:numId w:val="5"/>
        </w:numPr>
      </w:pPr>
      <w:r>
        <w:t>2022-23 onwards AWPU rate increased by 2.5% above baseline</w:t>
      </w:r>
      <w:r w:rsidR="00390F15">
        <w:t xml:space="preserve"> 2021-22 rates calculation.</w:t>
      </w:r>
    </w:p>
    <w:p w:rsidR="00A55051" w:rsidRDefault="00A55051" w:rsidP="00A55051">
      <w:pPr>
        <w:pStyle w:val="ListParagraph"/>
        <w:numPr>
          <w:ilvl w:val="1"/>
          <w:numId w:val="5"/>
        </w:numPr>
      </w:pPr>
      <w:r>
        <w:t>Previous increases have been 2019-20 +0.5%, 2020-21 +5.5%, and 2021-22 +4.5%. An average of 2.5% has been used for modelling based on these recent increases.</w:t>
      </w:r>
    </w:p>
    <w:p w:rsidR="00EC2A57" w:rsidRDefault="00EC2A57" w:rsidP="009B7A94"/>
    <w:p w:rsidR="001E088D" w:rsidRPr="00D95449" w:rsidRDefault="001E088D" w:rsidP="009B7A94">
      <w:r w:rsidRPr="00D95449">
        <w:rPr>
          <w:b/>
          <w:u w:val="single"/>
        </w:rPr>
        <w:t>Expenditure</w:t>
      </w:r>
    </w:p>
    <w:p w:rsidR="001E088D" w:rsidRPr="00D95449" w:rsidRDefault="001E088D"/>
    <w:p w:rsidR="001852BA" w:rsidRPr="00D95449" w:rsidRDefault="00893CA2" w:rsidP="001852BA">
      <w:r w:rsidRPr="00D95449">
        <w:t xml:space="preserve">The following </w:t>
      </w:r>
      <w:r w:rsidR="001852BA" w:rsidRPr="00D95449">
        <w:t xml:space="preserve">key conditions and assumptions </w:t>
      </w:r>
      <w:r w:rsidR="00676181" w:rsidRPr="00D95449">
        <w:t xml:space="preserve">have been </w:t>
      </w:r>
      <w:r w:rsidR="001852BA" w:rsidRPr="00D95449">
        <w:t>u</w:t>
      </w:r>
      <w:r w:rsidR="00E92B32" w:rsidRPr="00D95449">
        <w:t>sed for forecasting expenditure.</w:t>
      </w:r>
    </w:p>
    <w:p w:rsidR="008516BB" w:rsidRPr="00D95449" w:rsidRDefault="008516BB" w:rsidP="001852BA"/>
    <w:p w:rsidR="00CD6F2F" w:rsidRDefault="00974433" w:rsidP="00596B3F">
      <w:pPr>
        <w:pStyle w:val="ListParagraph"/>
        <w:numPr>
          <w:ilvl w:val="0"/>
          <w:numId w:val="6"/>
        </w:numPr>
      </w:pPr>
      <w:r w:rsidRPr="00D95449">
        <w:t>Re</w:t>
      </w:r>
      <w:r w:rsidR="00390F15">
        <w:t>vised staff calculators for Nov</w:t>
      </w:r>
      <w:r w:rsidR="00D6217B">
        <w:t xml:space="preserve"> 21 have been used. </w:t>
      </w:r>
    </w:p>
    <w:p w:rsidR="00D6217B" w:rsidRDefault="00D6217B" w:rsidP="00596B3F">
      <w:pPr>
        <w:pStyle w:val="ListParagraph"/>
        <w:numPr>
          <w:ilvl w:val="0"/>
          <w:numId w:val="6"/>
        </w:numPr>
      </w:pPr>
      <w:r>
        <w:t>Teachers pay freeze for Sept 2021, then 2% in year 2-3 and 1% in years 4-5</w:t>
      </w:r>
    </w:p>
    <w:p w:rsidR="00D6217B" w:rsidRDefault="00D6217B" w:rsidP="00596B3F">
      <w:pPr>
        <w:pStyle w:val="ListParagraph"/>
        <w:numPr>
          <w:ilvl w:val="0"/>
          <w:numId w:val="6"/>
        </w:numPr>
      </w:pPr>
      <w:r>
        <w:t>Support staff 2.75% in April 2022, 2023, and 2024</w:t>
      </w:r>
    </w:p>
    <w:p w:rsidR="00D6217B" w:rsidRDefault="00D6217B" w:rsidP="00596B3F">
      <w:pPr>
        <w:pStyle w:val="ListParagraph"/>
        <w:numPr>
          <w:ilvl w:val="0"/>
          <w:numId w:val="6"/>
        </w:numPr>
      </w:pPr>
      <w:r>
        <w:t xml:space="preserve">Energy costs for 2022-23 forecast at </w:t>
      </w:r>
      <w:r w:rsidR="003D6480">
        <w:t xml:space="preserve">10% increase over original budget and then 10% to year 3. The energy market will hopefully have stabilised by next year but a higher increase than previously forecast has been included as a precaution.  </w:t>
      </w:r>
      <w:r>
        <w:t xml:space="preserve"> </w:t>
      </w:r>
    </w:p>
    <w:p w:rsidR="0067424F" w:rsidRDefault="0067424F" w:rsidP="0067424F"/>
    <w:p w:rsidR="00EC2A57" w:rsidRDefault="00EC2A57" w:rsidP="0067424F">
      <w:pPr>
        <w:rPr>
          <w:b/>
          <w:u w:val="single"/>
        </w:rPr>
      </w:pPr>
      <w:r>
        <w:rPr>
          <w:b/>
          <w:u w:val="single"/>
        </w:rPr>
        <w:lastRenderedPageBreak/>
        <w:t>Comparison to previous forecast</w:t>
      </w:r>
    </w:p>
    <w:p w:rsidR="00EC2A57" w:rsidRDefault="00EC2A57" w:rsidP="0067424F">
      <w:pPr>
        <w:rPr>
          <w:b/>
          <w:u w:val="single"/>
        </w:rPr>
      </w:pPr>
    </w:p>
    <w:p w:rsidR="00EC2A57" w:rsidRDefault="00461AF1" w:rsidP="0067424F">
      <w:r>
        <w:t>The (£30</w:t>
      </w:r>
      <w:r w:rsidR="008B17B8">
        <w:t>k)</w:t>
      </w:r>
      <w:r>
        <w:t xml:space="preserve"> to (£15k)</w:t>
      </w:r>
      <w:r w:rsidR="008B17B8">
        <w:t xml:space="preserve"> for each year from 2022-23 onwards compared to the previous report is almost all linked to staffing positions. </w:t>
      </w:r>
    </w:p>
    <w:p w:rsidR="00461AF1" w:rsidRDefault="00461AF1" w:rsidP="0067424F">
      <w:r>
        <w:t>The Teachers pay review costs that were listed separately are now built in and there is a saving from a teacher who has resigned and is not being replaced.</w:t>
      </w:r>
    </w:p>
    <w:p w:rsidR="00461AF1" w:rsidRPr="008B17B8" w:rsidRDefault="00461AF1" w:rsidP="0067424F">
      <w:r>
        <w:t>Support staff costs have been increased to reflect changes including a new CCF Staff instructor, a new LSA, and some higher costs relating to replacing staff who are leaving.</w:t>
      </w:r>
    </w:p>
    <w:p w:rsidR="00EC2A57" w:rsidRDefault="00EC2A57" w:rsidP="0067424F">
      <w:pPr>
        <w:rPr>
          <w:b/>
          <w:u w:val="single"/>
        </w:rPr>
      </w:pPr>
    </w:p>
    <w:p w:rsidR="0067424F" w:rsidRPr="0067424F" w:rsidRDefault="0067424F" w:rsidP="0067424F">
      <w:pPr>
        <w:rPr>
          <w:b/>
          <w:u w:val="single"/>
        </w:rPr>
      </w:pPr>
      <w:r w:rsidRPr="0067424F">
        <w:rPr>
          <w:b/>
          <w:u w:val="single"/>
        </w:rPr>
        <w:t>Summary</w:t>
      </w:r>
    </w:p>
    <w:p w:rsidR="005C00FC" w:rsidRDefault="005C00FC" w:rsidP="0067424F"/>
    <w:p w:rsidR="005C00FC" w:rsidRPr="00D95449" w:rsidRDefault="00461AF1" w:rsidP="0067424F">
      <w:r>
        <w:t>The</w:t>
      </w:r>
      <w:r w:rsidR="005C00FC">
        <w:t xml:space="preserve"> in-year position looks good for Years 1 to 3 which is the focus, and is what we must report on the ESFA. Years 4-5 always get a bit speculat</w:t>
      </w:r>
      <w:r>
        <w:t>ive but no year forecasts an</w:t>
      </w:r>
      <w:r w:rsidR="005C00FC">
        <w:t xml:space="preserve"> o</w:t>
      </w:r>
      <w:r w:rsidR="00EC2A57">
        <w:t>verall deficit.</w:t>
      </w:r>
    </w:p>
    <w:p w:rsidR="00F836A7" w:rsidRDefault="00F836A7" w:rsidP="009B7A94">
      <w:pPr>
        <w:pStyle w:val="ListParagraph"/>
        <w:ind w:left="0"/>
        <w:rPr>
          <w:b/>
          <w:highlight w:val="yellow"/>
          <w:u w:val="single"/>
        </w:rPr>
      </w:pPr>
    </w:p>
    <w:p w:rsidR="009B7A94" w:rsidRPr="00DC2BC7" w:rsidRDefault="008B12D7" w:rsidP="009B7A94">
      <w:pPr>
        <w:pStyle w:val="ListParagraph"/>
        <w:ind w:left="0"/>
        <w:rPr>
          <w:b/>
          <w:u w:val="single"/>
        </w:rPr>
      </w:pPr>
      <w:r w:rsidRPr="00DC2BC7">
        <w:rPr>
          <w:b/>
          <w:u w:val="single"/>
        </w:rPr>
        <w:t>Risks &amp; Opportunities</w:t>
      </w:r>
    </w:p>
    <w:p w:rsidR="009B7A94" w:rsidRPr="00DC2BC7" w:rsidRDefault="009B7A94" w:rsidP="009B7A94">
      <w:pPr>
        <w:pStyle w:val="ListParagraph"/>
        <w:ind w:left="0"/>
      </w:pPr>
    </w:p>
    <w:p w:rsidR="00EC2A57" w:rsidRDefault="00EC2A57" w:rsidP="00015FCB">
      <w:pPr>
        <w:pStyle w:val="ListParagraph"/>
        <w:numPr>
          <w:ilvl w:val="0"/>
          <w:numId w:val="7"/>
        </w:numPr>
      </w:pPr>
      <w:r>
        <w:t>Possible Support staff pay rise backdated to April 2021 if it gets agreed</w:t>
      </w:r>
    </w:p>
    <w:p w:rsidR="00EC2A57" w:rsidRDefault="00EC2A57" w:rsidP="00015FCB">
      <w:pPr>
        <w:pStyle w:val="ListParagraph"/>
        <w:numPr>
          <w:ilvl w:val="0"/>
          <w:numId w:val="7"/>
        </w:numPr>
      </w:pPr>
      <w:r>
        <w:t>NI increase from April 2022</w:t>
      </w:r>
    </w:p>
    <w:p w:rsidR="00AB3236" w:rsidRDefault="00AB3236" w:rsidP="00015FCB">
      <w:pPr>
        <w:pStyle w:val="ListParagraph"/>
        <w:numPr>
          <w:ilvl w:val="0"/>
          <w:numId w:val="7"/>
        </w:numPr>
      </w:pPr>
      <w:r>
        <w:t>Energy crisis – huge impact on 2021-22. Funding announced for businesses but not public sector at this stage. Market uncertainty beyond 2021-22</w:t>
      </w:r>
    </w:p>
    <w:p w:rsidR="00AB3236" w:rsidRDefault="00AB3236" w:rsidP="00015FCB">
      <w:pPr>
        <w:pStyle w:val="ListParagraph"/>
        <w:numPr>
          <w:ilvl w:val="0"/>
          <w:numId w:val="7"/>
        </w:numPr>
      </w:pPr>
      <w:r>
        <w:t>Current recruitment issues to catering and cleaning positions</w:t>
      </w:r>
    </w:p>
    <w:p w:rsidR="00FA6D89" w:rsidRPr="00DC2BC7" w:rsidRDefault="00EE539F" w:rsidP="00015FCB">
      <w:pPr>
        <w:pStyle w:val="ListParagraph"/>
        <w:numPr>
          <w:ilvl w:val="0"/>
          <w:numId w:val="7"/>
        </w:numPr>
      </w:pPr>
      <w:r w:rsidRPr="00DC2BC7">
        <w:t>Pupil Premium numbers for</w:t>
      </w:r>
      <w:r w:rsidR="000B22A6" w:rsidRPr="00DC2BC7">
        <w:t xml:space="preserve"> </w:t>
      </w:r>
      <w:r w:rsidR="00C44BDC" w:rsidRPr="00DC2BC7">
        <w:t>future years could vary</w:t>
      </w:r>
      <w:r w:rsidR="009A3B85">
        <w:t xml:space="preserve"> (although likely to go up rather than down)</w:t>
      </w:r>
    </w:p>
    <w:p w:rsidR="00DC2BC7" w:rsidRPr="00DC2BC7" w:rsidRDefault="00DC2BC7" w:rsidP="00DC2BC7">
      <w:pPr>
        <w:ind w:left="360"/>
        <w:rPr>
          <w:highlight w:val="yellow"/>
        </w:rPr>
      </w:pPr>
    </w:p>
    <w:p w:rsidR="007C52F4" w:rsidRDefault="007C52F4" w:rsidP="007C52F4">
      <w:pPr>
        <w:ind w:left="360"/>
      </w:pPr>
    </w:p>
    <w:p w:rsidR="007C52F4" w:rsidRPr="007C52F4" w:rsidRDefault="007C52F4" w:rsidP="007C52F4">
      <w:pPr>
        <w:rPr>
          <w:b/>
          <w:u w:val="single"/>
        </w:rPr>
      </w:pPr>
      <w:r w:rsidRPr="007C52F4">
        <w:rPr>
          <w:b/>
          <w:u w:val="single"/>
        </w:rPr>
        <w:t>Report Guide</w:t>
      </w:r>
    </w:p>
    <w:p w:rsidR="007C52F4" w:rsidRDefault="007C52F4" w:rsidP="007C52F4">
      <w:pPr>
        <w:ind w:left="360"/>
      </w:pPr>
    </w:p>
    <w:p w:rsidR="007C52F4" w:rsidRPr="007C52F4" w:rsidRDefault="007C52F4" w:rsidP="007C52F4">
      <w:r w:rsidRPr="007C52F4">
        <w:t>The Summary page includes the in-year surplus\deficit position for Revenue, Capital, and overall total. The reserves brought forward from previous year for Revenue, Capital, and overall total, and the expected carry forward for each, and overall total.</w:t>
      </w:r>
    </w:p>
    <w:p w:rsidR="007C52F4" w:rsidRPr="007C52F4" w:rsidRDefault="007C52F4" w:rsidP="007C52F4">
      <w:r w:rsidRPr="007C52F4">
        <w:t>The report includes all pages of the working document:</w:t>
      </w:r>
    </w:p>
    <w:p w:rsidR="007C52F4" w:rsidRPr="007C52F4" w:rsidRDefault="007C52F4" w:rsidP="007C52F4"/>
    <w:p w:rsidR="007C52F4" w:rsidRPr="007C52F4" w:rsidRDefault="007C52F4" w:rsidP="007C52F4">
      <w:pPr>
        <w:pStyle w:val="ListParagraph"/>
        <w:numPr>
          <w:ilvl w:val="0"/>
          <w:numId w:val="8"/>
        </w:numPr>
      </w:pPr>
      <w:r w:rsidRPr="007C52F4">
        <w:t xml:space="preserve">Summary – Headline figures </w:t>
      </w:r>
    </w:p>
    <w:p w:rsidR="007C52F4" w:rsidRPr="007C52F4" w:rsidRDefault="007C52F4" w:rsidP="007C52F4">
      <w:pPr>
        <w:pStyle w:val="ListParagraph"/>
        <w:numPr>
          <w:ilvl w:val="0"/>
          <w:numId w:val="8"/>
        </w:numPr>
      </w:pPr>
      <w:r w:rsidRPr="007C52F4">
        <w:t>Income – Breakdown of all actual and forecast income</w:t>
      </w:r>
    </w:p>
    <w:p w:rsidR="007C52F4" w:rsidRPr="007C52F4" w:rsidRDefault="007C52F4" w:rsidP="007C52F4">
      <w:pPr>
        <w:pStyle w:val="ListParagraph"/>
        <w:numPr>
          <w:ilvl w:val="0"/>
          <w:numId w:val="8"/>
        </w:numPr>
      </w:pPr>
      <w:r w:rsidRPr="007C52F4">
        <w:t>Expenditure - Breakdown of all actual and forecast expenditure</w:t>
      </w:r>
    </w:p>
    <w:p w:rsidR="007C52F4" w:rsidRPr="007C52F4" w:rsidRDefault="007C52F4" w:rsidP="007C52F4">
      <w:pPr>
        <w:pStyle w:val="ListParagraph"/>
        <w:numPr>
          <w:ilvl w:val="0"/>
          <w:numId w:val="8"/>
        </w:numPr>
      </w:pPr>
      <w:r w:rsidRPr="007C52F4">
        <w:t>Pupil Numbers – covers expected pupil numbers for the next 5 years</w:t>
      </w:r>
    </w:p>
    <w:p w:rsidR="007C52F4" w:rsidRPr="007C52F4" w:rsidRDefault="007C52F4" w:rsidP="007C52F4">
      <w:pPr>
        <w:pStyle w:val="ListParagraph"/>
        <w:numPr>
          <w:ilvl w:val="0"/>
          <w:numId w:val="8"/>
        </w:numPr>
      </w:pPr>
      <w:r w:rsidRPr="007C52F4">
        <w:t>Notes – for reference</w:t>
      </w:r>
    </w:p>
    <w:p w:rsidR="007C52F4" w:rsidRPr="002F4FDE" w:rsidRDefault="007C52F4" w:rsidP="007C52F4">
      <w:pPr>
        <w:ind w:left="360"/>
      </w:pPr>
    </w:p>
    <w:sectPr w:rsidR="007C52F4"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CB" w:rsidRDefault="00015FCB" w:rsidP="002F4FDE">
      <w:r>
        <w:separator/>
      </w:r>
    </w:p>
  </w:endnote>
  <w:endnote w:type="continuationSeparator" w:id="0">
    <w:p w:rsidR="00015FCB" w:rsidRDefault="00015FCB"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8" w:rsidRPr="002F4FDE" w:rsidRDefault="000F28D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CB" w:rsidRDefault="00015FCB" w:rsidP="002F4FDE">
      <w:r>
        <w:separator/>
      </w:r>
    </w:p>
  </w:footnote>
  <w:footnote w:type="continuationSeparator" w:id="0">
    <w:p w:rsidR="00015FCB" w:rsidRDefault="00015FCB"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03"/>
    <w:multiLevelType w:val="hybridMultilevel"/>
    <w:tmpl w:val="428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0F7"/>
    <w:multiLevelType w:val="hybridMultilevel"/>
    <w:tmpl w:val="FEB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F8"/>
    <w:multiLevelType w:val="hybridMultilevel"/>
    <w:tmpl w:val="A9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7F0F"/>
    <w:multiLevelType w:val="hybridMultilevel"/>
    <w:tmpl w:val="7B08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0414"/>
    <w:multiLevelType w:val="hybridMultilevel"/>
    <w:tmpl w:val="647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A3520"/>
    <w:multiLevelType w:val="hybridMultilevel"/>
    <w:tmpl w:val="9A8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7A36"/>
    <w:multiLevelType w:val="hybridMultilevel"/>
    <w:tmpl w:val="92F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754C"/>
    <w:multiLevelType w:val="hybridMultilevel"/>
    <w:tmpl w:val="82B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190"/>
    <w:multiLevelType w:val="hybridMultilevel"/>
    <w:tmpl w:val="1D1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5413E"/>
    <w:multiLevelType w:val="hybridMultilevel"/>
    <w:tmpl w:val="4F7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658"/>
    <w:multiLevelType w:val="hybridMultilevel"/>
    <w:tmpl w:val="1C9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D0488"/>
    <w:multiLevelType w:val="hybridMultilevel"/>
    <w:tmpl w:val="2D3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614132"/>
    <w:multiLevelType w:val="hybridMultilevel"/>
    <w:tmpl w:val="9D9C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81722"/>
    <w:multiLevelType w:val="hybridMultilevel"/>
    <w:tmpl w:val="2E4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D33B6"/>
    <w:multiLevelType w:val="hybridMultilevel"/>
    <w:tmpl w:val="242C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B2A8E"/>
    <w:multiLevelType w:val="hybridMultilevel"/>
    <w:tmpl w:val="A30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01C19"/>
    <w:multiLevelType w:val="hybridMultilevel"/>
    <w:tmpl w:val="270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E5891"/>
    <w:multiLevelType w:val="hybridMultilevel"/>
    <w:tmpl w:val="D7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036F3"/>
    <w:multiLevelType w:val="hybridMultilevel"/>
    <w:tmpl w:val="812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C79E7"/>
    <w:multiLevelType w:val="hybridMultilevel"/>
    <w:tmpl w:val="B42C8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2"/>
  </w:num>
  <w:num w:numId="2">
    <w:abstractNumId w:val="11"/>
  </w:num>
  <w:num w:numId="3">
    <w:abstractNumId w:val="14"/>
  </w:num>
  <w:num w:numId="4">
    <w:abstractNumId w:val="2"/>
  </w:num>
  <w:num w:numId="5">
    <w:abstractNumId w:val="15"/>
  </w:num>
  <w:num w:numId="6">
    <w:abstractNumId w:val="4"/>
  </w:num>
  <w:num w:numId="7">
    <w:abstractNumId w:val="9"/>
  </w:num>
  <w:num w:numId="8">
    <w:abstractNumId w:val="0"/>
  </w:num>
  <w:num w:numId="9">
    <w:abstractNumId w:val="21"/>
  </w:num>
  <w:num w:numId="10">
    <w:abstractNumId w:val="22"/>
  </w:num>
  <w:num w:numId="11">
    <w:abstractNumId w:val="13"/>
  </w:num>
  <w:num w:numId="12">
    <w:abstractNumId w:val="10"/>
  </w:num>
  <w:num w:numId="13">
    <w:abstractNumId w:val="18"/>
  </w:num>
  <w:num w:numId="14">
    <w:abstractNumId w:val="1"/>
  </w:num>
  <w:num w:numId="15">
    <w:abstractNumId w:val="8"/>
  </w:num>
  <w:num w:numId="16">
    <w:abstractNumId w:val="20"/>
  </w:num>
  <w:num w:numId="17">
    <w:abstractNumId w:val="16"/>
  </w:num>
  <w:num w:numId="18">
    <w:abstractNumId w:val="5"/>
  </w:num>
  <w:num w:numId="19">
    <w:abstractNumId w:val="6"/>
  </w:num>
  <w:num w:numId="20">
    <w:abstractNumId w:val="19"/>
  </w:num>
  <w:num w:numId="21">
    <w:abstractNumId w:val="7"/>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0030D"/>
    <w:rsid w:val="00015E76"/>
    <w:rsid w:val="00015FCB"/>
    <w:rsid w:val="00023093"/>
    <w:rsid w:val="00036544"/>
    <w:rsid w:val="00062F9C"/>
    <w:rsid w:val="000717F3"/>
    <w:rsid w:val="00080628"/>
    <w:rsid w:val="000A757B"/>
    <w:rsid w:val="000B22A6"/>
    <w:rsid w:val="000B2DFD"/>
    <w:rsid w:val="000B4892"/>
    <w:rsid w:val="000B74FE"/>
    <w:rsid w:val="000C4B8F"/>
    <w:rsid w:val="000C6A65"/>
    <w:rsid w:val="000F28D8"/>
    <w:rsid w:val="001141E0"/>
    <w:rsid w:val="00115756"/>
    <w:rsid w:val="001305A5"/>
    <w:rsid w:val="00134EC2"/>
    <w:rsid w:val="00153349"/>
    <w:rsid w:val="0016538F"/>
    <w:rsid w:val="00181F82"/>
    <w:rsid w:val="001852BA"/>
    <w:rsid w:val="00191CF0"/>
    <w:rsid w:val="00195329"/>
    <w:rsid w:val="001B3ED1"/>
    <w:rsid w:val="001E088D"/>
    <w:rsid w:val="00222FCC"/>
    <w:rsid w:val="00240C26"/>
    <w:rsid w:val="0024766F"/>
    <w:rsid w:val="0028373D"/>
    <w:rsid w:val="002A4087"/>
    <w:rsid w:val="002B7AE1"/>
    <w:rsid w:val="002D0A41"/>
    <w:rsid w:val="002D77A0"/>
    <w:rsid w:val="002F181A"/>
    <w:rsid w:val="002F4FDE"/>
    <w:rsid w:val="003210EA"/>
    <w:rsid w:val="00327B8D"/>
    <w:rsid w:val="00337293"/>
    <w:rsid w:val="00352EF6"/>
    <w:rsid w:val="003741B0"/>
    <w:rsid w:val="00387E32"/>
    <w:rsid w:val="00390F15"/>
    <w:rsid w:val="003951C5"/>
    <w:rsid w:val="003974C7"/>
    <w:rsid w:val="003B0E9A"/>
    <w:rsid w:val="003B203D"/>
    <w:rsid w:val="003C6ADB"/>
    <w:rsid w:val="003D6480"/>
    <w:rsid w:val="003E7850"/>
    <w:rsid w:val="00421CA7"/>
    <w:rsid w:val="00435B19"/>
    <w:rsid w:val="004444EC"/>
    <w:rsid w:val="004473B3"/>
    <w:rsid w:val="00461AF1"/>
    <w:rsid w:val="004B65BE"/>
    <w:rsid w:val="004C6D2D"/>
    <w:rsid w:val="004D29F6"/>
    <w:rsid w:val="004D733F"/>
    <w:rsid w:val="004E0544"/>
    <w:rsid w:val="004F341A"/>
    <w:rsid w:val="004F5E87"/>
    <w:rsid w:val="00545539"/>
    <w:rsid w:val="0055124A"/>
    <w:rsid w:val="005535AD"/>
    <w:rsid w:val="00596B3F"/>
    <w:rsid w:val="005A2111"/>
    <w:rsid w:val="005B1A7C"/>
    <w:rsid w:val="005B4B9F"/>
    <w:rsid w:val="005C00FC"/>
    <w:rsid w:val="005D3FD4"/>
    <w:rsid w:val="005E511E"/>
    <w:rsid w:val="00601449"/>
    <w:rsid w:val="00614FE2"/>
    <w:rsid w:val="00621535"/>
    <w:rsid w:val="006308D4"/>
    <w:rsid w:val="006334F6"/>
    <w:rsid w:val="006375A5"/>
    <w:rsid w:val="0064170B"/>
    <w:rsid w:val="0064735A"/>
    <w:rsid w:val="00652777"/>
    <w:rsid w:val="00661902"/>
    <w:rsid w:val="0067424F"/>
    <w:rsid w:val="00676181"/>
    <w:rsid w:val="00684633"/>
    <w:rsid w:val="0069048D"/>
    <w:rsid w:val="0069273F"/>
    <w:rsid w:val="00697747"/>
    <w:rsid w:val="006A5402"/>
    <w:rsid w:val="006A5521"/>
    <w:rsid w:val="006B34B1"/>
    <w:rsid w:val="006C0C05"/>
    <w:rsid w:val="006C5D6B"/>
    <w:rsid w:val="006E00BA"/>
    <w:rsid w:val="0072043F"/>
    <w:rsid w:val="00747AF6"/>
    <w:rsid w:val="00765411"/>
    <w:rsid w:val="0077721C"/>
    <w:rsid w:val="0078196D"/>
    <w:rsid w:val="007A2723"/>
    <w:rsid w:val="007A7156"/>
    <w:rsid w:val="007B4D57"/>
    <w:rsid w:val="007C47DF"/>
    <w:rsid w:val="007C52CB"/>
    <w:rsid w:val="007C52F4"/>
    <w:rsid w:val="007C5D33"/>
    <w:rsid w:val="007C6893"/>
    <w:rsid w:val="007D044B"/>
    <w:rsid w:val="007E757E"/>
    <w:rsid w:val="007E7C83"/>
    <w:rsid w:val="007F5B78"/>
    <w:rsid w:val="007F639D"/>
    <w:rsid w:val="00813540"/>
    <w:rsid w:val="00815992"/>
    <w:rsid w:val="00834BCD"/>
    <w:rsid w:val="008516BB"/>
    <w:rsid w:val="00851FAC"/>
    <w:rsid w:val="0086541D"/>
    <w:rsid w:val="00884343"/>
    <w:rsid w:val="00893CA2"/>
    <w:rsid w:val="008B12D7"/>
    <w:rsid w:val="008B17B8"/>
    <w:rsid w:val="008B494A"/>
    <w:rsid w:val="008C2179"/>
    <w:rsid w:val="008F7E80"/>
    <w:rsid w:val="00906287"/>
    <w:rsid w:val="009304A0"/>
    <w:rsid w:val="00970DB7"/>
    <w:rsid w:val="00971E0B"/>
    <w:rsid w:val="00974433"/>
    <w:rsid w:val="00976E78"/>
    <w:rsid w:val="00983DC8"/>
    <w:rsid w:val="00993CD7"/>
    <w:rsid w:val="00993DB1"/>
    <w:rsid w:val="009A3B85"/>
    <w:rsid w:val="009B7A94"/>
    <w:rsid w:val="009E5A83"/>
    <w:rsid w:val="00A01218"/>
    <w:rsid w:val="00A02B65"/>
    <w:rsid w:val="00A14F74"/>
    <w:rsid w:val="00A23350"/>
    <w:rsid w:val="00A268F5"/>
    <w:rsid w:val="00A3097E"/>
    <w:rsid w:val="00A55051"/>
    <w:rsid w:val="00A6079D"/>
    <w:rsid w:val="00A9234F"/>
    <w:rsid w:val="00A96390"/>
    <w:rsid w:val="00AA255A"/>
    <w:rsid w:val="00AB3236"/>
    <w:rsid w:val="00AD650C"/>
    <w:rsid w:val="00AF15BD"/>
    <w:rsid w:val="00AF1940"/>
    <w:rsid w:val="00B02956"/>
    <w:rsid w:val="00B206E9"/>
    <w:rsid w:val="00B325D7"/>
    <w:rsid w:val="00B81091"/>
    <w:rsid w:val="00B85491"/>
    <w:rsid w:val="00BA4E3C"/>
    <w:rsid w:val="00BB78C7"/>
    <w:rsid w:val="00BF7E4A"/>
    <w:rsid w:val="00C44BDC"/>
    <w:rsid w:val="00C47454"/>
    <w:rsid w:val="00C611A6"/>
    <w:rsid w:val="00C62589"/>
    <w:rsid w:val="00C6284F"/>
    <w:rsid w:val="00C67465"/>
    <w:rsid w:val="00C842E6"/>
    <w:rsid w:val="00C878E4"/>
    <w:rsid w:val="00CC3AD7"/>
    <w:rsid w:val="00CD6F2F"/>
    <w:rsid w:val="00CE0700"/>
    <w:rsid w:val="00CE368A"/>
    <w:rsid w:val="00D02342"/>
    <w:rsid w:val="00D1033B"/>
    <w:rsid w:val="00D17D7F"/>
    <w:rsid w:val="00D42202"/>
    <w:rsid w:val="00D43E3E"/>
    <w:rsid w:val="00D46EDF"/>
    <w:rsid w:val="00D6217B"/>
    <w:rsid w:val="00D855BA"/>
    <w:rsid w:val="00D904F6"/>
    <w:rsid w:val="00D91AA4"/>
    <w:rsid w:val="00D95449"/>
    <w:rsid w:val="00D95A6C"/>
    <w:rsid w:val="00D97A68"/>
    <w:rsid w:val="00DB20D8"/>
    <w:rsid w:val="00DC2BC7"/>
    <w:rsid w:val="00DC713B"/>
    <w:rsid w:val="00DF0B83"/>
    <w:rsid w:val="00E16F3F"/>
    <w:rsid w:val="00E31995"/>
    <w:rsid w:val="00E373F6"/>
    <w:rsid w:val="00E43795"/>
    <w:rsid w:val="00E72835"/>
    <w:rsid w:val="00E73B6D"/>
    <w:rsid w:val="00E92B32"/>
    <w:rsid w:val="00EC2A57"/>
    <w:rsid w:val="00EE1E7A"/>
    <w:rsid w:val="00EE539F"/>
    <w:rsid w:val="00F14240"/>
    <w:rsid w:val="00F2600B"/>
    <w:rsid w:val="00F32E0A"/>
    <w:rsid w:val="00F43C79"/>
    <w:rsid w:val="00F55735"/>
    <w:rsid w:val="00F70EB6"/>
    <w:rsid w:val="00F836A7"/>
    <w:rsid w:val="00FA2BC7"/>
    <w:rsid w:val="00FA2CE6"/>
    <w:rsid w:val="00FA6D89"/>
    <w:rsid w:val="00FB61F0"/>
    <w:rsid w:val="00FC2A97"/>
    <w:rsid w:val="00FE0D23"/>
    <w:rsid w:val="00FE3919"/>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4722"/>
  <w15:chartTrackingRefBased/>
  <w15:docId w15:val="{E874C472-10D9-43B9-8664-51358C11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 w:type="table" w:styleId="TableGrid">
    <w:name w:val="Table Grid"/>
    <w:basedOn w:val="TableNormal"/>
    <w:uiPriority w:val="39"/>
    <w:rsid w:val="004D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2</cp:revision>
  <cp:lastPrinted>2021-10-12T10:42:00Z</cp:lastPrinted>
  <dcterms:created xsi:type="dcterms:W3CDTF">2021-11-26T11:14:00Z</dcterms:created>
  <dcterms:modified xsi:type="dcterms:W3CDTF">2021-11-26T16:29:00Z</dcterms:modified>
</cp:coreProperties>
</file>