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08D" w:rsidRDefault="009F2FF7" w:rsidP="00D3426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Narrative for </w:t>
      </w:r>
      <w:r w:rsidR="003F61C8">
        <w:rPr>
          <w:b/>
          <w:sz w:val="32"/>
          <w:szCs w:val="32"/>
          <w:u w:val="single"/>
        </w:rPr>
        <w:t>Budget 2023-24</w:t>
      </w:r>
    </w:p>
    <w:p w:rsidR="00D26DF9" w:rsidRDefault="00D26DF9">
      <w:pPr>
        <w:rPr>
          <w:b/>
          <w:sz w:val="28"/>
          <w:szCs w:val="28"/>
        </w:rPr>
      </w:pPr>
    </w:p>
    <w:p w:rsidR="00C31781" w:rsidRDefault="003F61C8">
      <w:r>
        <w:t xml:space="preserve">The budget has been prepared on a zero based budget assumption for departments. Budget holders have submitted request forms which have been reviewed and evaluated. In some </w:t>
      </w:r>
      <w:proofErr w:type="gramStart"/>
      <w:r>
        <w:t>cases</w:t>
      </w:r>
      <w:proofErr w:type="gramEnd"/>
      <w:r>
        <w:t xml:space="preserve"> adjustments have been made which will be discussed with budget holders.  </w:t>
      </w:r>
    </w:p>
    <w:p w:rsidR="00C31781" w:rsidRDefault="00C31781"/>
    <w:p w:rsidR="00C31781" w:rsidRPr="003F61C8" w:rsidRDefault="00C31781">
      <w:r>
        <w:t>The revenue brought forward is £</w:t>
      </w:r>
      <w:r w:rsidR="003F61C8">
        <w:t>457,586</w:t>
      </w:r>
      <w:r>
        <w:t xml:space="preserve"> </w:t>
      </w:r>
      <w:r w:rsidRPr="00C31781">
        <w:rPr>
          <w:i/>
        </w:rPr>
        <w:t>(£</w:t>
      </w:r>
      <w:r w:rsidR="003F61C8">
        <w:rPr>
          <w:i/>
        </w:rPr>
        <w:t>322,652 2022-23</w:t>
      </w:r>
      <w:r w:rsidRPr="00C31781">
        <w:rPr>
          <w:i/>
        </w:rPr>
        <w:t>),</w:t>
      </w:r>
      <w:r>
        <w:t xml:space="preserve"> of which reserves are £</w:t>
      </w:r>
      <w:r w:rsidR="003F61C8">
        <w:t>260,843</w:t>
      </w:r>
      <w:r>
        <w:t xml:space="preserve"> </w:t>
      </w:r>
      <w:r w:rsidR="003F61C8">
        <w:rPr>
          <w:i/>
        </w:rPr>
        <w:t>(£150,828 2022-23</w:t>
      </w:r>
      <w:r w:rsidRPr="00C31781">
        <w:rPr>
          <w:i/>
        </w:rPr>
        <w:t>).</w:t>
      </w:r>
      <w:r>
        <w:rPr>
          <w:i/>
        </w:rPr>
        <w:t xml:space="preserve"> </w:t>
      </w:r>
      <w:r w:rsidR="003F61C8">
        <w:rPr>
          <w:i/>
        </w:rPr>
        <w:t xml:space="preserve"> </w:t>
      </w:r>
      <w:r w:rsidR="003F61C8">
        <w:t xml:space="preserve">The revenue brought forward also shows £145,000 Astro sinking fund and £51,743 </w:t>
      </w:r>
      <w:r w:rsidR="00254818">
        <w:t>revenue funds that are carried from the previous year and will be spent in 2023-24.</w:t>
      </w:r>
    </w:p>
    <w:p w:rsidR="00C31781" w:rsidRDefault="00C31781"/>
    <w:p w:rsidR="00254818" w:rsidRDefault="00254818">
      <w:r>
        <w:t>The brought forward funds breakdown can be seen on the Appendix 1 page but is not shown on the income and expenditure tabs as it does not relate to the 2023-24 budget (this is a change of format from previous years). The breakdown along with the expected year end position for 2023-24 can also now be seen on the summary page.</w:t>
      </w:r>
    </w:p>
    <w:p w:rsidR="00254818" w:rsidRDefault="00254818"/>
    <w:p w:rsidR="00254818" w:rsidRDefault="00254818">
      <w:r>
        <w:t xml:space="preserve">The income and expenditure pages now have two columns, “Allocated”, and “updated”. The updated column will be used throughout the year to show any </w:t>
      </w:r>
      <w:proofErr w:type="spellStart"/>
      <w:r>
        <w:t>virem</w:t>
      </w:r>
      <w:r w:rsidR="00262DDF">
        <w:t>e</w:t>
      </w:r>
      <w:bookmarkStart w:id="0" w:name="_GoBack"/>
      <w:bookmarkEnd w:id="0"/>
      <w:r>
        <w:t>nts</w:t>
      </w:r>
      <w:proofErr w:type="spellEnd"/>
      <w:r>
        <w:t xml:space="preserve"> that are processed. This will also update the summary page.</w:t>
      </w:r>
    </w:p>
    <w:p w:rsidR="00254818" w:rsidRDefault="00254818"/>
    <w:p w:rsidR="00254818" w:rsidRDefault="00254818">
      <w:r>
        <w:t xml:space="preserve">This year there are two additional columns on the income and expenditure pages to show the allocations at the start of the previous year and any updates. The 2022-23 updated column currently shows changes up to </w:t>
      </w:r>
      <w:proofErr w:type="spellStart"/>
      <w:r>
        <w:t>virement</w:t>
      </w:r>
      <w:proofErr w:type="spellEnd"/>
      <w:r>
        <w:t xml:space="preserve"> 9.</w:t>
      </w:r>
    </w:p>
    <w:p w:rsidR="00262DDF" w:rsidRDefault="00262DDF"/>
    <w:p w:rsidR="00262DDF" w:rsidRDefault="00262DDF">
      <w:r>
        <w:t xml:space="preserve">Additional notes for many of the budget lines have been added to give an overview or breakdown where appropriate. </w:t>
      </w:r>
    </w:p>
    <w:p w:rsidR="00254818" w:rsidRDefault="00254818"/>
    <w:p w:rsidR="00FA49A9" w:rsidRPr="00D3426E" w:rsidRDefault="00D3426E" w:rsidP="00B3111E">
      <w:pPr>
        <w:rPr>
          <w:b/>
          <w:u w:val="single"/>
        </w:rPr>
      </w:pPr>
      <w:r w:rsidRPr="00D3426E">
        <w:rPr>
          <w:b/>
          <w:u w:val="single"/>
        </w:rPr>
        <w:t>Income</w:t>
      </w:r>
    </w:p>
    <w:p w:rsidR="00D3426E" w:rsidRDefault="00D3426E" w:rsidP="00B3111E"/>
    <w:p w:rsidR="00D3426E" w:rsidRDefault="00D3426E" w:rsidP="00D3426E">
      <w:pPr>
        <w:pStyle w:val="ListParagraph"/>
        <w:numPr>
          <w:ilvl w:val="0"/>
          <w:numId w:val="7"/>
        </w:numPr>
      </w:pPr>
      <w:r>
        <w:t>Balances</w:t>
      </w:r>
      <w:r w:rsidR="001242AB">
        <w:t xml:space="preserve"> brought forward are </w:t>
      </w:r>
      <w:r w:rsidR="00613A66">
        <w:t xml:space="preserve">taken from the </w:t>
      </w:r>
      <w:r w:rsidR="00254818">
        <w:t>2022-23 Budget Position Report for May 2023 plus any restricted funds that will be carried forward (pupil premium, duke of Edinburgh etc.)</w:t>
      </w:r>
      <w:r>
        <w:t>.</w:t>
      </w:r>
    </w:p>
    <w:p w:rsidR="00262DDF" w:rsidRDefault="00262DDF" w:rsidP="00D3426E">
      <w:pPr>
        <w:pStyle w:val="ListParagraph"/>
        <w:numPr>
          <w:ilvl w:val="0"/>
          <w:numId w:val="7"/>
        </w:numPr>
      </w:pPr>
      <w:r>
        <w:t>All ESFA income has been taken from published allocations.</w:t>
      </w:r>
    </w:p>
    <w:p w:rsidR="00613A66" w:rsidRDefault="00613A66" w:rsidP="00D3426E">
      <w:pPr>
        <w:pStyle w:val="ListParagraph"/>
        <w:numPr>
          <w:ilvl w:val="0"/>
          <w:numId w:val="7"/>
        </w:numPr>
      </w:pPr>
      <w:r>
        <w:t>SEN income has been calculated using the list of students expected in September 2022.</w:t>
      </w:r>
    </w:p>
    <w:p w:rsidR="00D3426E" w:rsidRDefault="00D3426E" w:rsidP="00D3426E"/>
    <w:p w:rsidR="00D3426E" w:rsidRPr="00D3426E" w:rsidRDefault="00D3426E" w:rsidP="00D3426E">
      <w:pPr>
        <w:rPr>
          <w:b/>
          <w:u w:val="single"/>
        </w:rPr>
      </w:pPr>
      <w:r w:rsidRPr="00D3426E">
        <w:rPr>
          <w:b/>
          <w:u w:val="single"/>
        </w:rPr>
        <w:t>Expenditure</w:t>
      </w:r>
    </w:p>
    <w:p w:rsidR="00D3426E" w:rsidRDefault="00D3426E" w:rsidP="00D3426E"/>
    <w:p w:rsidR="00D3426E" w:rsidRDefault="00613A66" w:rsidP="00D3426E">
      <w:pPr>
        <w:pStyle w:val="ListParagraph"/>
        <w:numPr>
          <w:ilvl w:val="0"/>
          <w:numId w:val="8"/>
        </w:numPr>
      </w:pPr>
      <w:r>
        <w:t>Staffing costs have been calculated based on exp</w:t>
      </w:r>
      <w:r w:rsidR="00262DDF">
        <w:t>ected staffing in September 2023</w:t>
      </w:r>
      <w:r>
        <w:t xml:space="preserve">. Teachers pay rises </w:t>
      </w:r>
      <w:r w:rsidR="00262DDF">
        <w:t>are forecast</w:t>
      </w:r>
      <w:r>
        <w:t xml:space="preserve"> at 3% and Support st</w:t>
      </w:r>
      <w:r w:rsidR="00262DDF">
        <w:t>aff pay rises are forecast at 3% for April 2023 and 3% for April 2024</w:t>
      </w:r>
      <w:r>
        <w:t>.</w:t>
      </w:r>
    </w:p>
    <w:p w:rsidR="00613A66" w:rsidRDefault="00613A66" w:rsidP="00D3426E">
      <w:pPr>
        <w:pStyle w:val="ListParagraph"/>
        <w:numPr>
          <w:ilvl w:val="0"/>
          <w:numId w:val="8"/>
        </w:numPr>
      </w:pPr>
      <w:r>
        <w:t xml:space="preserve">Energy forecast is </w:t>
      </w:r>
      <w:r w:rsidR="00262DDF">
        <w:t>significantly lower than 2022-23 due to markets settling and a new contract being signed.</w:t>
      </w:r>
    </w:p>
    <w:p w:rsidR="00613A66" w:rsidRDefault="00613A66" w:rsidP="00D3426E">
      <w:pPr>
        <w:pStyle w:val="ListParagraph"/>
        <w:numPr>
          <w:ilvl w:val="0"/>
          <w:numId w:val="8"/>
        </w:numPr>
      </w:pPr>
      <w:r>
        <w:t>Pupil premium expenditure has been budgeted to support the Pupil Premium Strategy.</w:t>
      </w:r>
    </w:p>
    <w:p w:rsidR="00D3426E" w:rsidRDefault="00D3426E" w:rsidP="00B3111E">
      <w:pPr>
        <w:rPr>
          <w:b/>
        </w:rPr>
      </w:pPr>
    </w:p>
    <w:p w:rsidR="001D5CC0" w:rsidRPr="002F4FDE" w:rsidRDefault="001D5CC0" w:rsidP="00B3111E"/>
    <w:sectPr w:rsidR="001D5CC0" w:rsidRPr="002F4FD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078" w:rsidRDefault="00E51078" w:rsidP="002F4FDE">
      <w:r>
        <w:separator/>
      </w:r>
    </w:p>
  </w:endnote>
  <w:endnote w:type="continuationSeparator" w:id="0">
    <w:p w:rsidR="00E51078" w:rsidRDefault="00E51078" w:rsidP="002F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078" w:rsidRPr="002F4FDE" w:rsidRDefault="00E51078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078" w:rsidRDefault="00E51078" w:rsidP="002F4FDE">
      <w:r>
        <w:separator/>
      </w:r>
    </w:p>
  </w:footnote>
  <w:footnote w:type="continuationSeparator" w:id="0">
    <w:p w:rsidR="00E51078" w:rsidRDefault="00E51078" w:rsidP="002F4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21C"/>
    <w:multiLevelType w:val="hybridMultilevel"/>
    <w:tmpl w:val="C53AE7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7C055D"/>
    <w:multiLevelType w:val="hybridMultilevel"/>
    <w:tmpl w:val="DBBA0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B3455"/>
    <w:multiLevelType w:val="hybridMultilevel"/>
    <w:tmpl w:val="DC26211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61A3CE2"/>
    <w:multiLevelType w:val="hybridMultilevel"/>
    <w:tmpl w:val="D2D83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72B77"/>
    <w:multiLevelType w:val="hybridMultilevel"/>
    <w:tmpl w:val="4CA49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96000"/>
    <w:multiLevelType w:val="hybridMultilevel"/>
    <w:tmpl w:val="4F22413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CE36763"/>
    <w:multiLevelType w:val="hybridMultilevel"/>
    <w:tmpl w:val="FE443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275AA"/>
    <w:multiLevelType w:val="hybridMultilevel"/>
    <w:tmpl w:val="24786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40"/>
    <w:rsid w:val="00024570"/>
    <w:rsid w:val="00077AA6"/>
    <w:rsid w:val="000F3663"/>
    <w:rsid w:val="000F3DDB"/>
    <w:rsid w:val="000F6A15"/>
    <w:rsid w:val="00107EB2"/>
    <w:rsid w:val="00115A60"/>
    <w:rsid w:val="001242AB"/>
    <w:rsid w:val="00185B9D"/>
    <w:rsid w:val="001949BA"/>
    <w:rsid w:val="001C214A"/>
    <w:rsid w:val="001D5CC0"/>
    <w:rsid w:val="00222FCC"/>
    <w:rsid w:val="002271BE"/>
    <w:rsid w:val="00233955"/>
    <w:rsid w:val="00242399"/>
    <w:rsid w:val="00254818"/>
    <w:rsid w:val="00262DDF"/>
    <w:rsid w:val="002D4417"/>
    <w:rsid w:val="002F4FDE"/>
    <w:rsid w:val="002F6F8E"/>
    <w:rsid w:val="00370C80"/>
    <w:rsid w:val="003954BB"/>
    <w:rsid w:val="003975DB"/>
    <w:rsid w:val="003A763E"/>
    <w:rsid w:val="003C06E0"/>
    <w:rsid w:val="003F61C8"/>
    <w:rsid w:val="004105E4"/>
    <w:rsid w:val="00421B5F"/>
    <w:rsid w:val="00426645"/>
    <w:rsid w:val="00436389"/>
    <w:rsid w:val="004745AB"/>
    <w:rsid w:val="00490A4C"/>
    <w:rsid w:val="004D1072"/>
    <w:rsid w:val="004D28CE"/>
    <w:rsid w:val="004F2953"/>
    <w:rsid w:val="0051755F"/>
    <w:rsid w:val="00522119"/>
    <w:rsid w:val="0055434A"/>
    <w:rsid w:val="0057608D"/>
    <w:rsid w:val="00593C25"/>
    <w:rsid w:val="00594A14"/>
    <w:rsid w:val="005964B4"/>
    <w:rsid w:val="005C58BA"/>
    <w:rsid w:val="005C7FB6"/>
    <w:rsid w:val="005D34B1"/>
    <w:rsid w:val="00601449"/>
    <w:rsid w:val="006038B7"/>
    <w:rsid w:val="00613A66"/>
    <w:rsid w:val="00620964"/>
    <w:rsid w:val="00635CEB"/>
    <w:rsid w:val="0064735A"/>
    <w:rsid w:val="00655364"/>
    <w:rsid w:val="00655645"/>
    <w:rsid w:val="0069048D"/>
    <w:rsid w:val="0069414C"/>
    <w:rsid w:val="006B40E3"/>
    <w:rsid w:val="006C4ACA"/>
    <w:rsid w:val="0071392B"/>
    <w:rsid w:val="00740236"/>
    <w:rsid w:val="0074799B"/>
    <w:rsid w:val="00760F53"/>
    <w:rsid w:val="007666B2"/>
    <w:rsid w:val="00771839"/>
    <w:rsid w:val="00772CED"/>
    <w:rsid w:val="007967B6"/>
    <w:rsid w:val="007A2840"/>
    <w:rsid w:val="007B7B5C"/>
    <w:rsid w:val="007F2A66"/>
    <w:rsid w:val="007F639D"/>
    <w:rsid w:val="00803841"/>
    <w:rsid w:val="00847A9C"/>
    <w:rsid w:val="0085655B"/>
    <w:rsid w:val="00861E89"/>
    <w:rsid w:val="0086541D"/>
    <w:rsid w:val="0087594D"/>
    <w:rsid w:val="00877827"/>
    <w:rsid w:val="008831C9"/>
    <w:rsid w:val="00887D58"/>
    <w:rsid w:val="008B494A"/>
    <w:rsid w:val="008C709C"/>
    <w:rsid w:val="008D00E9"/>
    <w:rsid w:val="008D2847"/>
    <w:rsid w:val="008F3148"/>
    <w:rsid w:val="008F484F"/>
    <w:rsid w:val="00906287"/>
    <w:rsid w:val="009134DD"/>
    <w:rsid w:val="009263FF"/>
    <w:rsid w:val="00936312"/>
    <w:rsid w:val="00960E14"/>
    <w:rsid w:val="00971E0B"/>
    <w:rsid w:val="00993DB1"/>
    <w:rsid w:val="009B0D0A"/>
    <w:rsid w:val="009B3673"/>
    <w:rsid w:val="009B4157"/>
    <w:rsid w:val="009B4E7E"/>
    <w:rsid w:val="009D1D7B"/>
    <w:rsid w:val="009E5A83"/>
    <w:rsid w:val="009E7F27"/>
    <w:rsid w:val="009F2FF7"/>
    <w:rsid w:val="00A06B4C"/>
    <w:rsid w:val="00A21FF0"/>
    <w:rsid w:val="00A232B4"/>
    <w:rsid w:val="00A43F1F"/>
    <w:rsid w:val="00A55682"/>
    <w:rsid w:val="00A6079D"/>
    <w:rsid w:val="00A62FB9"/>
    <w:rsid w:val="00A87C65"/>
    <w:rsid w:val="00A91E5C"/>
    <w:rsid w:val="00A94F38"/>
    <w:rsid w:val="00A97D8F"/>
    <w:rsid w:val="00AB500F"/>
    <w:rsid w:val="00AE2078"/>
    <w:rsid w:val="00B22DEB"/>
    <w:rsid w:val="00B3111E"/>
    <w:rsid w:val="00B35CD6"/>
    <w:rsid w:val="00B85491"/>
    <w:rsid w:val="00BA5E17"/>
    <w:rsid w:val="00BC692B"/>
    <w:rsid w:val="00BE0A50"/>
    <w:rsid w:val="00BE4B76"/>
    <w:rsid w:val="00C00A09"/>
    <w:rsid w:val="00C06C5F"/>
    <w:rsid w:val="00C175CF"/>
    <w:rsid w:val="00C2005E"/>
    <w:rsid w:val="00C22DD8"/>
    <w:rsid w:val="00C31781"/>
    <w:rsid w:val="00C5137B"/>
    <w:rsid w:val="00C54189"/>
    <w:rsid w:val="00C611A6"/>
    <w:rsid w:val="00C71E75"/>
    <w:rsid w:val="00C72E61"/>
    <w:rsid w:val="00C87F15"/>
    <w:rsid w:val="00CA7419"/>
    <w:rsid w:val="00CC73D3"/>
    <w:rsid w:val="00D1017B"/>
    <w:rsid w:val="00D2003D"/>
    <w:rsid w:val="00D26DF9"/>
    <w:rsid w:val="00D3426E"/>
    <w:rsid w:val="00D47D9C"/>
    <w:rsid w:val="00D65080"/>
    <w:rsid w:val="00DC713B"/>
    <w:rsid w:val="00DF0B83"/>
    <w:rsid w:val="00E133F0"/>
    <w:rsid w:val="00E43795"/>
    <w:rsid w:val="00E51078"/>
    <w:rsid w:val="00E62229"/>
    <w:rsid w:val="00E666A2"/>
    <w:rsid w:val="00E72FF5"/>
    <w:rsid w:val="00E7431E"/>
    <w:rsid w:val="00E769A3"/>
    <w:rsid w:val="00EE3C1B"/>
    <w:rsid w:val="00F04AF0"/>
    <w:rsid w:val="00F12E4C"/>
    <w:rsid w:val="00F14240"/>
    <w:rsid w:val="00F4118E"/>
    <w:rsid w:val="00FA49A9"/>
    <w:rsid w:val="00FB0F6D"/>
    <w:rsid w:val="00FD4D3B"/>
    <w:rsid w:val="00FD6583"/>
    <w:rsid w:val="00FE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66776"/>
  <w15:chartTrackingRefBased/>
  <w15:docId w15:val="{E3F14303-3441-4A76-8775-1F3D639E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DE"/>
  </w:style>
  <w:style w:type="paragraph" w:styleId="Footer">
    <w:name w:val="footer"/>
    <w:basedOn w:val="Normal"/>
    <w:link w:val="Foot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FDE"/>
  </w:style>
  <w:style w:type="paragraph" w:styleId="BalloonText">
    <w:name w:val="Balloon Text"/>
    <w:basedOn w:val="Normal"/>
    <w:link w:val="BalloonTextChar"/>
    <w:uiPriority w:val="99"/>
    <w:semiHidden/>
    <w:unhideWhenUsed/>
    <w:rsid w:val="007F6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0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A9409-1231-454D-AAF7-227EBEA2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S.Roberts</dc:creator>
  <cp:keywords/>
  <dc:description/>
  <cp:lastModifiedBy>S.Roberts</cp:lastModifiedBy>
  <cp:revision>6</cp:revision>
  <cp:lastPrinted>2018-01-29T09:32:00Z</cp:lastPrinted>
  <dcterms:created xsi:type="dcterms:W3CDTF">2021-06-27T11:22:00Z</dcterms:created>
  <dcterms:modified xsi:type="dcterms:W3CDTF">2023-06-26T18:07:00Z</dcterms:modified>
</cp:coreProperties>
</file>