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3" w14:textId="241C3A47" w:rsidR="00E66558" w:rsidRDefault="009D71E8" w:rsidP="00EE4F9B">
      <w:pPr>
        <w:pStyle w:val="Heading1"/>
        <w:rPr>
          <w:b w:val="0"/>
        </w:rP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9C67E3">
        <w:t>Shenfield High School</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B3C00F4" w:rsidR="002940F3" w:rsidRDefault="004D1FDC">
            <w:pPr>
              <w:pStyle w:val="TableRow"/>
            </w:pPr>
            <w:r>
              <w:t>150</w:t>
            </w:r>
            <w:r w:rsidR="006F3946">
              <w:t>2 inclusive of 307 in 6</w:t>
            </w:r>
            <w:r w:rsidR="006F3946" w:rsidRPr="006F3946">
              <w:rPr>
                <w:vertAlign w:val="superscript"/>
              </w:rPr>
              <w:t>th</w:t>
            </w:r>
            <w:r w:rsidR="006F3946">
              <w:t xml:space="preserve"> form </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3502F28" w:rsidR="002940F3" w:rsidRDefault="006F3946">
            <w:pPr>
              <w:pStyle w:val="TableRow"/>
            </w:pPr>
            <w:r>
              <w:t>16.3% in Year 7 to 11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31E6BED" w:rsidR="002940F3" w:rsidRDefault="004D1FDC">
            <w:pPr>
              <w:pStyle w:val="TableRow"/>
            </w:pPr>
            <w:r>
              <w:t>202</w:t>
            </w:r>
            <w:r w:rsidR="00EE4F9B">
              <w:t>3</w:t>
            </w:r>
            <w:r w:rsidR="001A5759">
              <w:t>/2024 – 2026/2027</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A2A4713" w:rsidR="002940F3" w:rsidRDefault="004D1FDC">
            <w:pPr>
              <w:pStyle w:val="TableRow"/>
            </w:pPr>
            <w:r>
              <w:t>December 202</w:t>
            </w:r>
            <w:r w:rsidR="00EE4F9B">
              <w:t>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C7E8F60" w:rsidR="002940F3" w:rsidRDefault="004D1FDC">
            <w:pPr>
              <w:pStyle w:val="TableRow"/>
            </w:pPr>
            <w:r>
              <w:t>December 202</w:t>
            </w:r>
            <w:r w:rsidR="00EE4F9B">
              <w:t>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0D3F137" w:rsidR="002940F3" w:rsidRDefault="001A5759">
            <w:pPr>
              <w:pStyle w:val="TableRow"/>
            </w:pPr>
            <w:r>
              <w:t>CCO</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944938C" w:rsidR="002940F3" w:rsidRDefault="001A5759">
            <w:pPr>
              <w:pStyle w:val="TableRow"/>
            </w:pPr>
            <w:r>
              <w:t>DBA</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D6B4CD1" w:rsidR="002940F3" w:rsidRDefault="001A5759">
            <w:pPr>
              <w:pStyle w:val="TableRow"/>
            </w:pPr>
            <w:proofErr w:type="spellStart"/>
            <w:r>
              <w:t>D.Churchill</w:t>
            </w:r>
            <w:proofErr w:type="spellEnd"/>
          </w:p>
        </w:tc>
      </w:tr>
    </w:tbl>
    <w:bookmarkEnd w:id="2"/>
    <w:bookmarkEnd w:id="3"/>
    <w:bookmarkEnd w:id="4"/>
    <w:p w14:paraId="44DAB650" w14:textId="61AF544D" w:rsidR="00EE4F9B" w:rsidRDefault="00EE4F9B" w:rsidP="00EE4F9B">
      <w:pPr>
        <w:pStyle w:val="Heading2"/>
      </w:pPr>
      <w:r>
        <w:t>Guidance documentation and linked policies</w:t>
      </w:r>
    </w:p>
    <w:p w14:paraId="63AE6DFB" w14:textId="4B500374" w:rsidR="00EE4F9B" w:rsidRDefault="00134C75" w:rsidP="00EE4F9B">
      <w:hyperlink r:id="rId7" w:history="1">
        <w:r w:rsidR="00EE4F9B">
          <w:rPr>
            <w:rStyle w:val="Hyperlink"/>
          </w:rPr>
          <w:t>Using pupil premium: guidance for school leaders (publishing.service.gov.uk)</w:t>
        </w:r>
      </w:hyperlink>
      <w:r w:rsidR="00EE4F9B">
        <w:t xml:space="preserve"> </w:t>
      </w:r>
    </w:p>
    <w:p w14:paraId="61FF241B" w14:textId="1F3A639D" w:rsidR="00EE4F9B" w:rsidRDefault="00134C75" w:rsidP="00EE4F9B">
      <w:hyperlink r:id="rId8" w:history="1">
        <w:r w:rsidR="00EE4F9B">
          <w:rPr>
            <w:rStyle w:val="Hyperlink"/>
          </w:rPr>
          <w:t>Diagnostic_Assessment_Tool.pdf (d2tic4wvo1iusb.cloudfront.net)</w:t>
        </w:r>
      </w:hyperlink>
    </w:p>
    <w:p w14:paraId="5A8BCF47" w14:textId="1184DE55" w:rsidR="00EE4F9B" w:rsidRDefault="00134C75" w:rsidP="00EE4F9B">
      <w:hyperlink r:id="rId9" w:history="1">
        <w:r w:rsidR="00EE4F9B">
          <w:rPr>
            <w:rStyle w:val="Hyperlink"/>
          </w:rPr>
          <w:t>Pupil premium 2023-24: conditions of grant for academies and free schools - GOV.UK (www.gov.uk)</w:t>
        </w:r>
      </w:hyperlink>
    </w:p>
    <w:p w14:paraId="63EC21C6" w14:textId="46AD125B" w:rsidR="00EE4F9B" w:rsidRDefault="00134C75" w:rsidP="00EE4F9B">
      <w:hyperlink r:id="rId10" w:history="1">
        <w:r w:rsidR="00EE4F9B">
          <w:rPr>
            <w:rStyle w:val="Hyperlink"/>
          </w:rPr>
          <w:t>The EEF Guide to the Pupil Premium | EEF (educationendowmentfoundation.org.uk)</w:t>
        </w:r>
      </w:hyperlink>
    </w:p>
    <w:p w14:paraId="13FF254E" w14:textId="2DA73C45" w:rsidR="00EE4F9B" w:rsidRPr="00EE4F9B" w:rsidRDefault="00134C75" w:rsidP="00EE4F9B">
      <w:hyperlink r:id="rId11" w:history="1">
        <w:r w:rsidR="00EE4F9B">
          <w:rPr>
            <w:rStyle w:val="Hyperlink"/>
          </w:rPr>
          <w:t>Pupil_Premium_menu_evidence_brief.pdf.pdf (d2tic4wvo1iusb.cloudfront.net)</w:t>
        </w:r>
      </w:hyperlink>
    </w:p>
    <w:p w14:paraId="50B6022C" w14:textId="77777777" w:rsidR="00EE4F9B" w:rsidRDefault="00EE4F9B" w:rsidP="005464A1">
      <w:pPr>
        <w:pStyle w:val="Heading2"/>
      </w:pPr>
    </w:p>
    <w:p w14:paraId="65AE1A97" w14:textId="77777777" w:rsidR="00EE4F9B" w:rsidRDefault="00EE4F9B" w:rsidP="00EE4F9B"/>
    <w:p w14:paraId="033B959D" w14:textId="77777777" w:rsidR="00EE4F9B" w:rsidRDefault="00EE4F9B" w:rsidP="00EE4F9B"/>
    <w:p w14:paraId="06B1E4AB" w14:textId="77777777" w:rsidR="00EE4F9B" w:rsidRDefault="00EE4F9B" w:rsidP="00EE4F9B"/>
    <w:p w14:paraId="5C507F85" w14:textId="77777777" w:rsidR="00EE4F9B" w:rsidRPr="00EE4F9B" w:rsidRDefault="00EE4F9B" w:rsidP="00EE4F9B"/>
    <w:p w14:paraId="2A7D54D3" w14:textId="3E5FC601" w:rsidR="00E66558"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DE8CDC5" w:rsidR="00E66558" w:rsidRDefault="009D71E8">
            <w:pPr>
              <w:pStyle w:val="TableRow"/>
            </w:pPr>
            <w:r>
              <w:t>£</w:t>
            </w:r>
            <w:r w:rsidR="000C66BA">
              <w:t>198,720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EF5A4AD" w:rsidR="00E66558" w:rsidRDefault="009D71E8">
            <w:pPr>
              <w:pStyle w:val="TableRow"/>
            </w:pPr>
            <w:r>
              <w:t>£</w:t>
            </w:r>
            <w:r w:rsidR="000C66BA">
              <w:t xml:space="preserve"> 55, 476</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96AD5DF" w:rsidR="00E66558" w:rsidRDefault="009D71E8">
            <w:pPr>
              <w:pStyle w:val="TableRow"/>
            </w:pPr>
            <w:r>
              <w:t>£</w:t>
            </w:r>
            <w:r w:rsidR="000C66BA">
              <w:t xml:space="preserve"> 5, 981</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F96DA8B" w:rsidR="00E66558" w:rsidRDefault="009D71E8">
            <w:pPr>
              <w:pStyle w:val="TableRow"/>
            </w:pPr>
            <w:r>
              <w:t>£</w:t>
            </w:r>
            <w:r w:rsidR="000C66BA">
              <w:t xml:space="preserve"> 260, 177</w:t>
            </w:r>
          </w:p>
        </w:tc>
      </w:tr>
    </w:tbl>
    <w:p w14:paraId="2A7D54E4" w14:textId="77777777" w:rsidR="00E66558" w:rsidRDefault="009D71E8">
      <w:pPr>
        <w:pStyle w:val="Heading1"/>
      </w:pPr>
      <w:r>
        <w:t>Part A: Pupil premium strategy plan</w:t>
      </w:r>
    </w:p>
    <w:p w14:paraId="2A7D54E5" w14:textId="77777777" w:rsidR="00E66558" w:rsidRDefault="009D71E8" w:rsidP="00995D3D">
      <w:pPr>
        <w:pStyle w:val="Heading2"/>
        <w:jc w:val="both"/>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FF5C" w14:textId="5D60906F" w:rsidR="009C67E3" w:rsidRPr="00995D3D" w:rsidRDefault="009C67E3" w:rsidP="00995D3D">
            <w:pPr>
              <w:jc w:val="both"/>
            </w:pPr>
            <w:r w:rsidRPr="00A50F03">
              <w:rPr>
                <w:rFonts w:cs="Arial"/>
                <w:iCs/>
                <w:color w:val="auto"/>
              </w:rPr>
              <w:t xml:space="preserve">Our intention is that all pupils, irrespective of their background or the challenges they face, make good progress and achieve high attainment across the curriculum, particularly in </w:t>
            </w:r>
            <w:r>
              <w:rPr>
                <w:rFonts w:cs="Arial"/>
                <w:iCs/>
                <w:color w:val="auto"/>
              </w:rPr>
              <w:t>core subjects which safeguard their opportunities post 16.</w:t>
            </w:r>
            <w:r w:rsidRPr="00A50F03">
              <w:rPr>
                <w:rFonts w:cs="Arial"/>
                <w:iCs/>
                <w:color w:val="auto"/>
              </w:rPr>
              <w:t xml:space="preserve"> </w:t>
            </w:r>
            <w:r w:rsidRPr="00A50F03">
              <w:rPr>
                <w:rFonts w:cs="Arial"/>
                <w:iCs/>
                <w:color w:val="auto"/>
                <w:lang w:val="en-US"/>
              </w:rPr>
              <w:t>The focus of our pupil premium strategy is to support disadvantaged pupils to achieve that goal, including progress for those who are already high attainers</w:t>
            </w:r>
            <w:r w:rsidR="0096334E">
              <w:rPr>
                <w:rFonts w:cs="Arial"/>
                <w:iCs/>
                <w:color w:val="auto"/>
                <w:lang w:val="en-US"/>
              </w:rPr>
              <w:t xml:space="preserve"> (12.65%)</w:t>
            </w:r>
            <w:r w:rsidR="00DF653E">
              <w:rPr>
                <w:rFonts w:cs="Arial"/>
                <w:iCs/>
                <w:color w:val="auto"/>
                <w:lang w:val="en-US"/>
              </w:rPr>
              <w:t>.</w:t>
            </w:r>
            <w:r w:rsidR="004532C5">
              <w:rPr>
                <w:rFonts w:cs="Arial"/>
                <w:iCs/>
                <w:color w:val="auto"/>
                <w:lang w:val="en-US"/>
              </w:rPr>
              <w:t xml:space="preserve"> </w:t>
            </w:r>
          </w:p>
          <w:p w14:paraId="20E28B65" w14:textId="77777777" w:rsidR="009C67E3" w:rsidRDefault="009C67E3" w:rsidP="00995D3D">
            <w:pPr>
              <w:spacing w:before="120"/>
              <w:jc w:val="both"/>
              <w:rPr>
                <w:rFonts w:cs="Arial"/>
                <w:iCs/>
                <w:color w:val="auto"/>
                <w:lang w:val="en-US"/>
              </w:rPr>
            </w:pPr>
          </w:p>
          <w:p w14:paraId="219FA837" w14:textId="77777777" w:rsidR="009C67E3" w:rsidRPr="00FD504E" w:rsidRDefault="009C67E3" w:rsidP="00995D3D">
            <w:pPr>
              <w:spacing w:before="120"/>
              <w:jc w:val="both"/>
              <w:rPr>
                <w:rFonts w:cs="Arial"/>
                <w:iCs/>
                <w:color w:val="auto"/>
              </w:rPr>
            </w:pPr>
            <w:r w:rsidRPr="00A50F03">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52560C2D" w14:textId="4A07022E" w:rsidR="009C67E3" w:rsidRPr="00E905E8" w:rsidRDefault="009C67E3" w:rsidP="00995D3D">
            <w:pPr>
              <w:jc w:val="both"/>
              <w:rPr>
                <w:rFonts w:ascii="Tahoma" w:hAnsi="Tahoma" w:cs="Tahoma"/>
                <w:iCs/>
                <w:color w:val="FF0000"/>
                <w:sz w:val="22"/>
                <w:szCs w:val="22"/>
              </w:rPr>
            </w:pPr>
            <w:r w:rsidRPr="00E905E8">
              <w:rPr>
                <w:rFonts w:ascii="Tahoma" w:hAnsi="Tahoma" w:cs="Tahoma"/>
                <w:iCs/>
                <w:sz w:val="22"/>
                <w:szCs w:val="22"/>
              </w:rPr>
              <w:t xml:space="preserve">Our strategy is based upon the fact that the vast amount of students’ progress comes from quality first teaching and therefore the curriculum, lessons and assessments are devised and delivered to support students’ learning and progress. While the school respects individual teaching style, behavioural expectations are the same across the school.  All teaching staff are expected to use the principle that the curriculum is the model of progress.  Thus, all departments have determined the sequencing of the curriculum, which is published.  Work continues ensuring that, beyond topic identification, the sequencing of the curriculum </w:t>
            </w:r>
            <w:proofErr w:type="gramStart"/>
            <w:r w:rsidRPr="00E905E8">
              <w:rPr>
                <w:rFonts w:ascii="Tahoma" w:hAnsi="Tahoma" w:cs="Tahoma"/>
                <w:iCs/>
                <w:sz w:val="22"/>
                <w:szCs w:val="22"/>
              </w:rPr>
              <w:t>takes into account</w:t>
            </w:r>
            <w:proofErr w:type="gramEnd"/>
            <w:r w:rsidRPr="00E905E8">
              <w:rPr>
                <w:rFonts w:ascii="Tahoma" w:hAnsi="Tahoma" w:cs="Tahoma"/>
                <w:iCs/>
                <w:sz w:val="22"/>
                <w:szCs w:val="22"/>
              </w:rPr>
              <w:t xml:space="preserve"> the necessity to build knowledge and understanding, and that key concepts are returned to and enhanced.  Retrieval practice is a key part of learning across the school.</w:t>
            </w:r>
            <w:r>
              <w:rPr>
                <w:rFonts w:ascii="Tahoma" w:hAnsi="Tahoma" w:cs="Tahoma"/>
                <w:iCs/>
                <w:sz w:val="22"/>
                <w:szCs w:val="22"/>
              </w:rPr>
              <w:t xml:space="preserve"> </w:t>
            </w:r>
            <w:r w:rsidRPr="00A50F03">
              <w:rPr>
                <w:iCs/>
                <w:color w:val="auto"/>
                <w:lang w:val="en-US"/>
              </w:rPr>
              <w:t>Implicit in the intended outcomes detailed below, is the intention that non-disadvantaged pupils’ attainment will be sustained and improved alongside progress for their disadvantaged peers.</w:t>
            </w:r>
          </w:p>
          <w:p w14:paraId="2A7D54E9" w14:textId="2770E29E" w:rsidR="009C67E3" w:rsidRPr="009C67E3" w:rsidRDefault="009C67E3" w:rsidP="00995D3D">
            <w:pPr>
              <w:jc w:val="both"/>
            </w:pPr>
          </w:p>
        </w:tc>
      </w:tr>
    </w:tbl>
    <w:p w14:paraId="06750C22" w14:textId="4EE77129" w:rsidR="00EE4F9B" w:rsidRDefault="00EE4F9B" w:rsidP="00EE4F9B">
      <w:pPr>
        <w:pStyle w:val="Heading2"/>
        <w:spacing w:before="600"/>
      </w:pPr>
      <w:r>
        <w:t>Demographics of Disadvantaged at Shenfield High School</w:t>
      </w:r>
      <w:r w:rsidR="00241BE3">
        <w:t xml:space="preserve"> 2023</w:t>
      </w:r>
    </w:p>
    <w:tbl>
      <w:tblPr>
        <w:tblStyle w:val="TableGrid"/>
        <w:tblW w:w="9722" w:type="dxa"/>
        <w:tblLook w:val="04A0" w:firstRow="1" w:lastRow="0" w:firstColumn="1" w:lastColumn="0" w:noHBand="0" w:noVBand="1"/>
      </w:tblPr>
      <w:tblGrid>
        <w:gridCol w:w="1333"/>
        <w:gridCol w:w="1054"/>
        <w:gridCol w:w="1056"/>
        <w:gridCol w:w="1056"/>
        <w:gridCol w:w="1066"/>
        <w:gridCol w:w="1063"/>
        <w:gridCol w:w="997"/>
        <w:gridCol w:w="1067"/>
        <w:gridCol w:w="1030"/>
      </w:tblGrid>
      <w:tr w:rsidR="00867E47" w14:paraId="35F4476F" w14:textId="194E3643" w:rsidTr="00022AFD">
        <w:tc>
          <w:tcPr>
            <w:tcW w:w="1360" w:type="dxa"/>
          </w:tcPr>
          <w:p w14:paraId="4F27DC10" w14:textId="77777777" w:rsidR="002B2914" w:rsidRPr="00022AFD" w:rsidRDefault="002B2914" w:rsidP="00EE4F9B">
            <w:pPr>
              <w:rPr>
                <w:b/>
                <w:bCs/>
              </w:rPr>
            </w:pPr>
          </w:p>
        </w:tc>
        <w:tc>
          <w:tcPr>
            <w:tcW w:w="1056" w:type="dxa"/>
          </w:tcPr>
          <w:p w14:paraId="1DB83749" w14:textId="77777777" w:rsidR="002B2914" w:rsidRDefault="002B2914" w:rsidP="00EE4F9B">
            <w:r>
              <w:t>Y7</w:t>
            </w:r>
          </w:p>
          <w:p w14:paraId="47322848" w14:textId="615FBED8" w:rsidR="00022AFD" w:rsidRDefault="00022AFD" w:rsidP="00EE4F9B">
            <w:r>
              <w:t>241</w:t>
            </w:r>
          </w:p>
        </w:tc>
        <w:tc>
          <w:tcPr>
            <w:tcW w:w="1058" w:type="dxa"/>
          </w:tcPr>
          <w:p w14:paraId="1A4D4013" w14:textId="77777777" w:rsidR="002B2914" w:rsidRDefault="002B2914" w:rsidP="00EE4F9B">
            <w:r>
              <w:t>Y8</w:t>
            </w:r>
          </w:p>
          <w:p w14:paraId="6A401D28" w14:textId="795F244B" w:rsidR="00022AFD" w:rsidRDefault="00022AFD" w:rsidP="00EE4F9B">
            <w:r>
              <w:t>239</w:t>
            </w:r>
          </w:p>
        </w:tc>
        <w:tc>
          <w:tcPr>
            <w:tcW w:w="1058" w:type="dxa"/>
          </w:tcPr>
          <w:p w14:paraId="6D8A0541" w14:textId="77777777" w:rsidR="002B2914" w:rsidRDefault="002B2914" w:rsidP="00EE4F9B">
            <w:r>
              <w:t>Y9</w:t>
            </w:r>
          </w:p>
          <w:p w14:paraId="38AB80EA" w14:textId="514B5B30" w:rsidR="00022AFD" w:rsidRDefault="00022AFD" w:rsidP="00EE4F9B">
            <w:r>
              <w:t>238</w:t>
            </w:r>
          </w:p>
        </w:tc>
        <w:tc>
          <w:tcPr>
            <w:tcW w:w="1069" w:type="dxa"/>
          </w:tcPr>
          <w:p w14:paraId="4791597F" w14:textId="77777777" w:rsidR="002B2914" w:rsidRDefault="002B2914" w:rsidP="00EE4F9B">
            <w:r>
              <w:t>Y10</w:t>
            </w:r>
          </w:p>
          <w:p w14:paraId="267D74BD" w14:textId="400D2F84" w:rsidR="00022AFD" w:rsidRDefault="00022AFD" w:rsidP="00EE4F9B">
            <w:r>
              <w:t>240</w:t>
            </w:r>
          </w:p>
        </w:tc>
        <w:tc>
          <w:tcPr>
            <w:tcW w:w="1066" w:type="dxa"/>
          </w:tcPr>
          <w:p w14:paraId="62D959DC" w14:textId="77777777" w:rsidR="002B2914" w:rsidRDefault="002B2914" w:rsidP="00EE4F9B">
            <w:r>
              <w:t>Y11</w:t>
            </w:r>
          </w:p>
          <w:p w14:paraId="7EC9DF6E" w14:textId="15EA94B1" w:rsidR="00022AFD" w:rsidRDefault="00022AFD" w:rsidP="00EE4F9B">
            <w:r>
              <w:t>238</w:t>
            </w:r>
          </w:p>
        </w:tc>
        <w:tc>
          <w:tcPr>
            <w:tcW w:w="1007" w:type="dxa"/>
          </w:tcPr>
          <w:p w14:paraId="1C32C2E1" w14:textId="77777777" w:rsidR="002B2914" w:rsidRDefault="002B2914" w:rsidP="00EE4F9B">
            <w:r>
              <w:t>Y12</w:t>
            </w:r>
          </w:p>
          <w:p w14:paraId="7E76A8F6" w14:textId="03D62DF3" w:rsidR="00022AFD" w:rsidRDefault="00022AFD" w:rsidP="00EE4F9B">
            <w:r>
              <w:t>168</w:t>
            </w:r>
          </w:p>
        </w:tc>
        <w:tc>
          <w:tcPr>
            <w:tcW w:w="1071" w:type="dxa"/>
          </w:tcPr>
          <w:p w14:paraId="7A390CB9" w14:textId="77777777" w:rsidR="002B2914" w:rsidRDefault="002B2914" w:rsidP="00EE4F9B">
            <w:r>
              <w:t>Y13</w:t>
            </w:r>
          </w:p>
          <w:p w14:paraId="23EC9A24" w14:textId="4F1173BE" w:rsidR="00022AFD" w:rsidRDefault="00022AFD" w:rsidP="00EE4F9B">
            <w:r>
              <w:t>139</w:t>
            </w:r>
          </w:p>
        </w:tc>
        <w:tc>
          <w:tcPr>
            <w:tcW w:w="977" w:type="dxa"/>
          </w:tcPr>
          <w:p w14:paraId="5EC62727" w14:textId="77777777" w:rsidR="002B2914" w:rsidRDefault="002B2914" w:rsidP="00EE4F9B">
            <w:r>
              <w:t>Overall</w:t>
            </w:r>
          </w:p>
          <w:p w14:paraId="6884699A" w14:textId="24541166" w:rsidR="00022AFD" w:rsidRDefault="00022AFD" w:rsidP="00EE4F9B">
            <w:r>
              <w:t>1503</w:t>
            </w:r>
          </w:p>
        </w:tc>
      </w:tr>
      <w:tr w:rsidR="0096334E" w14:paraId="1B3A2E62" w14:textId="3AD41ACD" w:rsidTr="00022AFD">
        <w:trPr>
          <w:trHeight w:val="200"/>
        </w:trPr>
        <w:tc>
          <w:tcPr>
            <w:tcW w:w="1360" w:type="dxa"/>
          </w:tcPr>
          <w:p w14:paraId="77653FD1" w14:textId="3F102D66" w:rsidR="00022AFD" w:rsidRPr="00022AFD" w:rsidRDefault="00022AFD" w:rsidP="00867E47">
            <w:pPr>
              <w:rPr>
                <w:b/>
                <w:bCs/>
              </w:rPr>
            </w:pPr>
            <w:r w:rsidRPr="00867E47">
              <w:t>Number PP</w:t>
            </w:r>
          </w:p>
        </w:tc>
        <w:tc>
          <w:tcPr>
            <w:tcW w:w="1056" w:type="dxa"/>
          </w:tcPr>
          <w:p w14:paraId="024E349C" w14:textId="45DF55E8" w:rsidR="00022AFD" w:rsidRDefault="00022AFD" w:rsidP="00EE4F9B">
            <w:r>
              <w:t>41</w:t>
            </w:r>
          </w:p>
        </w:tc>
        <w:tc>
          <w:tcPr>
            <w:tcW w:w="1058" w:type="dxa"/>
          </w:tcPr>
          <w:p w14:paraId="0D44E592" w14:textId="613144DC" w:rsidR="00022AFD" w:rsidRDefault="00022AFD" w:rsidP="00EE4F9B">
            <w:r>
              <w:t>46</w:t>
            </w:r>
          </w:p>
        </w:tc>
        <w:tc>
          <w:tcPr>
            <w:tcW w:w="1058" w:type="dxa"/>
          </w:tcPr>
          <w:p w14:paraId="2727BB8E" w14:textId="799233E7" w:rsidR="00022AFD" w:rsidRDefault="00022AFD" w:rsidP="00EE4F9B">
            <w:r>
              <w:t>60</w:t>
            </w:r>
          </w:p>
        </w:tc>
        <w:tc>
          <w:tcPr>
            <w:tcW w:w="1069" w:type="dxa"/>
          </w:tcPr>
          <w:p w14:paraId="3A52F2D2" w14:textId="23BB845E" w:rsidR="00022AFD" w:rsidRDefault="00022AFD" w:rsidP="00EE4F9B">
            <w:r>
              <w:t>35</w:t>
            </w:r>
          </w:p>
        </w:tc>
        <w:tc>
          <w:tcPr>
            <w:tcW w:w="1066" w:type="dxa"/>
          </w:tcPr>
          <w:p w14:paraId="4BF56459" w14:textId="1C7E6EC8" w:rsidR="00022AFD" w:rsidRDefault="00022AFD" w:rsidP="00EE4F9B">
            <w:r>
              <w:t>30</w:t>
            </w:r>
          </w:p>
        </w:tc>
        <w:tc>
          <w:tcPr>
            <w:tcW w:w="1007" w:type="dxa"/>
          </w:tcPr>
          <w:p w14:paraId="1E265BE6" w14:textId="45922D1F" w:rsidR="00022AFD" w:rsidRDefault="00022AFD" w:rsidP="00EE4F9B">
            <w:r>
              <w:t>16</w:t>
            </w:r>
          </w:p>
        </w:tc>
        <w:tc>
          <w:tcPr>
            <w:tcW w:w="1071" w:type="dxa"/>
          </w:tcPr>
          <w:p w14:paraId="6DF45F1E" w14:textId="7F757BF4" w:rsidR="00022AFD" w:rsidRDefault="00022AFD" w:rsidP="00EE4F9B">
            <w:r>
              <w:t>17</w:t>
            </w:r>
          </w:p>
        </w:tc>
        <w:tc>
          <w:tcPr>
            <w:tcW w:w="977" w:type="dxa"/>
          </w:tcPr>
          <w:p w14:paraId="76150CDA" w14:textId="2B771145" w:rsidR="00022AFD" w:rsidRDefault="00022AFD" w:rsidP="00EE4F9B">
            <w:r>
              <w:t>245</w:t>
            </w:r>
          </w:p>
        </w:tc>
      </w:tr>
      <w:tr w:rsidR="0096334E" w14:paraId="717A54B9" w14:textId="77777777" w:rsidTr="00022AFD">
        <w:trPr>
          <w:trHeight w:val="200"/>
        </w:trPr>
        <w:tc>
          <w:tcPr>
            <w:tcW w:w="1360" w:type="dxa"/>
          </w:tcPr>
          <w:p w14:paraId="3858F14D" w14:textId="6AAA6FFA" w:rsidR="00022AFD" w:rsidRDefault="00867E47" w:rsidP="00867E47">
            <w:r w:rsidRPr="00867E47">
              <w:t>% total cohort</w:t>
            </w:r>
          </w:p>
        </w:tc>
        <w:tc>
          <w:tcPr>
            <w:tcW w:w="1056" w:type="dxa"/>
          </w:tcPr>
          <w:p w14:paraId="472DDD68" w14:textId="32F60639" w:rsidR="00022AFD" w:rsidRDefault="00022AFD" w:rsidP="00EE4F9B">
            <w:r>
              <w:t>2.73%</w:t>
            </w:r>
          </w:p>
        </w:tc>
        <w:tc>
          <w:tcPr>
            <w:tcW w:w="1058" w:type="dxa"/>
          </w:tcPr>
          <w:p w14:paraId="4593BD1E" w14:textId="33773E08" w:rsidR="00022AFD" w:rsidRDefault="00022AFD" w:rsidP="00EE4F9B">
            <w:r>
              <w:t>3.06%</w:t>
            </w:r>
          </w:p>
        </w:tc>
        <w:tc>
          <w:tcPr>
            <w:tcW w:w="1058" w:type="dxa"/>
          </w:tcPr>
          <w:p w14:paraId="4FCAF5AC" w14:textId="08DCE184" w:rsidR="00022AFD" w:rsidRDefault="00022AFD" w:rsidP="00EE4F9B">
            <w:r>
              <w:t>3.99%</w:t>
            </w:r>
          </w:p>
        </w:tc>
        <w:tc>
          <w:tcPr>
            <w:tcW w:w="1069" w:type="dxa"/>
          </w:tcPr>
          <w:p w14:paraId="383FB627" w14:textId="03C591E4" w:rsidR="00022AFD" w:rsidRDefault="00022AFD" w:rsidP="00EE4F9B">
            <w:r>
              <w:t>2.33%</w:t>
            </w:r>
          </w:p>
        </w:tc>
        <w:tc>
          <w:tcPr>
            <w:tcW w:w="1066" w:type="dxa"/>
          </w:tcPr>
          <w:p w14:paraId="7F3BDADE" w14:textId="3C953797" w:rsidR="00022AFD" w:rsidRDefault="00022AFD" w:rsidP="00EE4F9B">
            <w:r>
              <w:t>1.99%</w:t>
            </w:r>
          </w:p>
        </w:tc>
        <w:tc>
          <w:tcPr>
            <w:tcW w:w="1007" w:type="dxa"/>
          </w:tcPr>
          <w:p w14:paraId="36487BA6" w14:textId="16E34F56" w:rsidR="00022AFD" w:rsidRDefault="00022AFD" w:rsidP="00EE4F9B">
            <w:r>
              <w:t>1.06%</w:t>
            </w:r>
          </w:p>
        </w:tc>
        <w:tc>
          <w:tcPr>
            <w:tcW w:w="1071" w:type="dxa"/>
          </w:tcPr>
          <w:p w14:paraId="15BC52AB" w14:textId="29C25295" w:rsidR="00022AFD" w:rsidRDefault="00022AFD" w:rsidP="00EE4F9B">
            <w:r>
              <w:t>1.13%</w:t>
            </w:r>
          </w:p>
        </w:tc>
        <w:tc>
          <w:tcPr>
            <w:tcW w:w="977" w:type="dxa"/>
          </w:tcPr>
          <w:p w14:paraId="74BC28E8" w14:textId="1A6E8563" w:rsidR="00022AFD" w:rsidRDefault="00022AFD" w:rsidP="00EE4F9B">
            <w:r>
              <w:t>16.30%</w:t>
            </w:r>
          </w:p>
        </w:tc>
      </w:tr>
      <w:tr w:rsidR="0096334E" w14:paraId="6B5EFB91" w14:textId="77777777" w:rsidTr="00022AFD">
        <w:trPr>
          <w:trHeight w:val="200"/>
        </w:trPr>
        <w:tc>
          <w:tcPr>
            <w:tcW w:w="1360" w:type="dxa"/>
          </w:tcPr>
          <w:p w14:paraId="7D113490" w14:textId="45CF5C2E" w:rsidR="00022AFD" w:rsidRDefault="00867E47" w:rsidP="00EE4F9B">
            <w:r w:rsidRPr="00867E47">
              <w:t>% year group</w:t>
            </w:r>
          </w:p>
        </w:tc>
        <w:tc>
          <w:tcPr>
            <w:tcW w:w="1056" w:type="dxa"/>
          </w:tcPr>
          <w:p w14:paraId="181A8628" w14:textId="365E8B5A" w:rsidR="00022AFD" w:rsidRDefault="0096334E" w:rsidP="00EE4F9B">
            <w:r>
              <w:t>17.01%</w:t>
            </w:r>
          </w:p>
        </w:tc>
        <w:tc>
          <w:tcPr>
            <w:tcW w:w="1058" w:type="dxa"/>
          </w:tcPr>
          <w:p w14:paraId="4C995A2A" w14:textId="04594095" w:rsidR="00022AFD" w:rsidRDefault="0096334E" w:rsidP="00EE4F9B">
            <w:r>
              <w:t>19.25%</w:t>
            </w:r>
          </w:p>
        </w:tc>
        <w:tc>
          <w:tcPr>
            <w:tcW w:w="1058" w:type="dxa"/>
          </w:tcPr>
          <w:p w14:paraId="3224C87D" w14:textId="20739B5A" w:rsidR="00022AFD" w:rsidRDefault="0096334E" w:rsidP="00EE4F9B">
            <w:r>
              <w:t>25.21%</w:t>
            </w:r>
          </w:p>
        </w:tc>
        <w:tc>
          <w:tcPr>
            <w:tcW w:w="1069" w:type="dxa"/>
          </w:tcPr>
          <w:p w14:paraId="482C24F9" w14:textId="2A81B6F1" w:rsidR="00022AFD" w:rsidRDefault="0096334E" w:rsidP="00EE4F9B">
            <w:r>
              <w:t>14.58%</w:t>
            </w:r>
          </w:p>
        </w:tc>
        <w:tc>
          <w:tcPr>
            <w:tcW w:w="1066" w:type="dxa"/>
          </w:tcPr>
          <w:p w14:paraId="60933BD2" w14:textId="520997A4" w:rsidR="00022AFD" w:rsidRDefault="0096334E" w:rsidP="00EE4F9B">
            <w:r>
              <w:t>12.61%</w:t>
            </w:r>
          </w:p>
        </w:tc>
        <w:tc>
          <w:tcPr>
            <w:tcW w:w="1007" w:type="dxa"/>
          </w:tcPr>
          <w:p w14:paraId="0B6ADF8D" w14:textId="46F1BBCC" w:rsidR="00022AFD" w:rsidRDefault="0096334E" w:rsidP="00EE4F9B">
            <w:r>
              <w:t>9.52%</w:t>
            </w:r>
          </w:p>
        </w:tc>
        <w:tc>
          <w:tcPr>
            <w:tcW w:w="1071" w:type="dxa"/>
          </w:tcPr>
          <w:p w14:paraId="1E0EEC28" w14:textId="0222F622" w:rsidR="00022AFD" w:rsidRDefault="0096334E" w:rsidP="00EE4F9B">
            <w:r>
              <w:t>12.23%</w:t>
            </w:r>
          </w:p>
        </w:tc>
        <w:tc>
          <w:tcPr>
            <w:tcW w:w="977" w:type="dxa"/>
          </w:tcPr>
          <w:p w14:paraId="3D867C65" w14:textId="77777777" w:rsidR="00022AFD" w:rsidRDefault="00022AFD" w:rsidP="00EE4F9B"/>
        </w:tc>
      </w:tr>
      <w:tr w:rsidR="00867E47" w14:paraId="7A897318" w14:textId="209AF3FE" w:rsidTr="00022AFD">
        <w:tc>
          <w:tcPr>
            <w:tcW w:w="1360" w:type="dxa"/>
          </w:tcPr>
          <w:p w14:paraId="56A31432" w14:textId="12491B5F" w:rsidR="002B2914" w:rsidRDefault="002B2914" w:rsidP="00EE4F9B">
            <w:r>
              <w:t>PP with SEND need</w:t>
            </w:r>
          </w:p>
        </w:tc>
        <w:tc>
          <w:tcPr>
            <w:tcW w:w="1056" w:type="dxa"/>
          </w:tcPr>
          <w:p w14:paraId="56BC5E57" w14:textId="77777777" w:rsidR="002B2914" w:rsidRDefault="002B2914" w:rsidP="00EE4F9B">
            <w:r>
              <w:t>18</w:t>
            </w:r>
          </w:p>
          <w:p w14:paraId="65BBF109" w14:textId="77777777" w:rsidR="002B2914" w:rsidRDefault="002B2914" w:rsidP="00EE4F9B">
            <w:r>
              <w:t>5 = E</w:t>
            </w:r>
          </w:p>
          <w:p w14:paraId="058C224B" w14:textId="77777777" w:rsidR="002B2914" w:rsidRDefault="002B2914" w:rsidP="00EE4F9B">
            <w:r>
              <w:t>12 = K</w:t>
            </w:r>
          </w:p>
          <w:p w14:paraId="494A9A94" w14:textId="05971521" w:rsidR="002B2914" w:rsidRDefault="002B2914" w:rsidP="00EE4F9B">
            <w:r>
              <w:t>4 = N</w:t>
            </w:r>
          </w:p>
        </w:tc>
        <w:tc>
          <w:tcPr>
            <w:tcW w:w="1058" w:type="dxa"/>
          </w:tcPr>
          <w:p w14:paraId="66045546" w14:textId="77777777" w:rsidR="002B2914" w:rsidRDefault="002B2914" w:rsidP="00EE4F9B">
            <w:r>
              <w:t>19</w:t>
            </w:r>
          </w:p>
          <w:p w14:paraId="1B60A4FD" w14:textId="77777777" w:rsidR="002B2914" w:rsidRDefault="002B2914" w:rsidP="00EE4F9B">
            <w:r>
              <w:t>6 = E</w:t>
            </w:r>
          </w:p>
          <w:p w14:paraId="1F827D0E" w14:textId="77777777" w:rsidR="002B2914" w:rsidRDefault="002B2914" w:rsidP="00EE4F9B">
            <w:r>
              <w:t>11 = K</w:t>
            </w:r>
          </w:p>
          <w:p w14:paraId="4E19067E" w14:textId="4D06E1A2" w:rsidR="002B2914" w:rsidRDefault="002B2914" w:rsidP="00EE4F9B">
            <w:r>
              <w:t>4 = N</w:t>
            </w:r>
          </w:p>
        </w:tc>
        <w:tc>
          <w:tcPr>
            <w:tcW w:w="1058" w:type="dxa"/>
          </w:tcPr>
          <w:p w14:paraId="069C502C" w14:textId="77777777" w:rsidR="002B2914" w:rsidRDefault="002B2914" w:rsidP="00EE4F9B">
            <w:r>
              <w:t>15</w:t>
            </w:r>
          </w:p>
          <w:p w14:paraId="42235DF4" w14:textId="521038B8" w:rsidR="002B2914" w:rsidRDefault="002B2914" w:rsidP="00EE4F9B">
            <w:r>
              <w:t>3 = E</w:t>
            </w:r>
          </w:p>
          <w:p w14:paraId="2A764DCA" w14:textId="218F5550" w:rsidR="002B2914" w:rsidRDefault="002B2914" w:rsidP="00EE4F9B">
            <w:r>
              <w:t>12 = K</w:t>
            </w:r>
          </w:p>
          <w:p w14:paraId="37AE9CD3" w14:textId="6B6DD806" w:rsidR="002B2914" w:rsidRDefault="002B2914" w:rsidP="00EE4F9B">
            <w:r>
              <w:t>2 = N</w:t>
            </w:r>
          </w:p>
          <w:p w14:paraId="311AEABD" w14:textId="130EA560" w:rsidR="002B2914" w:rsidRDefault="002B2914" w:rsidP="00EE4F9B"/>
        </w:tc>
        <w:tc>
          <w:tcPr>
            <w:tcW w:w="1069" w:type="dxa"/>
          </w:tcPr>
          <w:p w14:paraId="3BAE3453" w14:textId="77777777" w:rsidR="002B2914" w:rsidRDefault="002B2914" w:rsidP="00EE4F9B">
            <w:r>
              <w:t>13</w:t>
            </w:r>
          </w:p>
          <w:p w14:paraId="335D7A04" w14:textId="67584F48" w:rsidR="002B2914" w:rsidRDefault="002B2914" w:rsidP="00EE4F9B">
            <w:r>
              <w:t>1 =</w:t>
            </w:r>
            <w:r w:rsidR="00022AFD">
              <w:t xml:space="preserve"> </w:t>
            </w:r>
            <w:r>
              <w:t>E</w:t>
            </w:r>
          </w:p>
          <w:p w14:paraId="1695C349" w14:textId="162AEB7D" w:rsidR="002B2914" w:rsidRDefault="002B2914" w:rsidP="00EE4F9B">
            <w:r>
              <w:t>11 = K</w:t>
            </w:r>
          </w:p>
          <w:p w14:paraId="70AC1BC4" w14:textId="03C7F5B9" w:rsidR="002B2914" w:rsidRDefault="002B2914" w:rsidP="00EE4F9B">
            <w:r>
              <w:t>4 = N</w:t>
            </w:r>
          </w:p>
        </w:tc>
        <w:tc>
          <w:tcPr>
            <w:tcW w:w="1066" w:type="dxa"/>
          </w:tcPr>
          <w:p w14:paraId="4C4F3259" w14:textId="77777777" w:rsidR="002B2914" w:rsidRDefault="002B2914" w:rsidP="00EE4F9B">
            <w:r>
              <w:t>15</w:t>
            </w:r>
          </w:p>
          <w:p w14:paraId="0AD7417D" w14:textId="77777777" w:rsidR="002B2914" w:rsidRDefault="002B2914" w:rsidP="00EE4F9B">
            <w:r>
              <w:t>2 = E</w:t>
            </w:r>
          </w:p>
          <w:p w14:paraId="0C786B22" w14:textId="77777777" w:rsidR="002B2914" w:rsidRDefault="002B2914" w:rsidP="00EE4F9B">
            <w:r>
              <w:t>12 = K</w:t>
            </w:r>
          </w:p>
          <w:p w14:paraId="15B21682" w14:textId="56EC507F" w:rsidR="002B2914" w:rsidRDefault="002B2914" w:rsidP="00EE4F9B">
            <w:r>
              <w:t>4 = N</w:t>
            </w:r>
          </w:p>
        </w:tc>
        <w:tc>
          <w:tcPr>
            <w:tcW w:w="1007" w:type="dxa"/>
          </w:tcPr>
          <w:p w14:paraId="6C1626B5" w14:textId="569C72F7" w:rsidR="002B2914" w:rsidRDefault="002B2914" w:rsidP="00EE4F9B">
            <w:r>
              <w:t>0%</w:t>
            </w:r>
          </w:p>
        </w:tc>
        <w:tc>
          <w:tcPr>
            <w:tcW w:w="1071" w:type="dxa"/>
          </w:tcPr>
          <w:p w14:paraId="7153725D" w14:textId="77777777" w:rsidR="002B2914" w:rsidRDefault="002B2914" w:rsidP="00EE4F9B">
            <w:r>
              <w:t>1 = E</w:t>
            </w:r>
          </w:p>
          <w:p w14:paraId="28D7D169" w14:textId="764133FA" w:rsidR="002B2914" w:rsidRDefault="002B2914" w:rsidP="00EE4F9B">
            <w:r>
              <w:t>10 = N</w:t>
            </w:r>
          </w:p>
        </w:tc>
        <w:tc>
          <w:tcPr>
            <w:tcW w:w="977" w:type="dxa"/>
          </w:tcPr>
          <w:p w14:paraId="6BCF0356" w14:textId="77777777" w:rsidR="002B2914" w:rsidRDefault="00022AFD" w:rsidP="00EE4F9B">
            <w:r>
              <w:t>103</w:t>
            </w:r>
          </w:p>
          <w:p w14:paraId="12B3CAFA" w14:textId="77777777" w:rsidR="00022AFD" w:rsidRDefault="00022AFD" w:rsidP="00EE4F9B">
            <w:r>
              <w:t>18 = E</w:t>
            </w:r>
          </w:p>
          <w:p w14:paraId="779CD7F1" w14:textId="77777777" w:rsidR="00022AFD" w:rsidRDefault="00022AFD" w:rsidP="00EE4F9B">
            <w:r>
              <w:t>57 = K</w:t>
            </w:r>
          </w:p>
          <w:p w14:paraId="738F2738" w14:textId="1895A4F5" w:rsidR="00022AFD" w:rsidRDefault="00022AFD" w:rsidP="00EE4F9B">
            <w:r>
              <w:t>28 = N</w:t>
            </w:r>
          </w:p>
        </w:tc>
      </w:tr>
      <w:tr w:rsidR="00867E47" w14:paraId="322BD1C6" w14:textId="55E08847" w:rsidTr="00022AFD">
        <w:tc>
          <w:tcPr>
            <w:tcW w:w="1360" w:type="dxa"/>
          </w:tcPr>
          <w:p w14:paraId="483F4456" w14:textId="3C781674" w:rsidR="002B2914" w:rsidRDefault="002B2914" w:rsidP="00EE4F9B">
            <w:r>
              <w:t>PP Boy/Girl divide</w:t>
            </w:r>
          </w:p>
        </w:tc>
        <w:tc>
          <w:tcPr>
            <w:tcW w:w="1056" w:type="dxa"/>
          </w:tcPr>
          <w:p w14:paraId="7059B344" w14:textId="77777777" w:rsidR="002B2914" w:rsidRDefault="002B2914" w:rsidP="00EE4F9B">
            <w:r>
              <w:t>16 girls</w:t>
            </w:r>
          </w:p>
          <w:p w14:paraId="3E2D664B" w14:textId="77ADB5FE" w:rsidR="002B2914" w:rsidRDefault="002B2914" w:rsidP="00EE4F9B">
            <w:r>
              <w:t>25 boys</w:t>
            </w:r>
          </w:p>
        </w:tc>
        <w:tc>
          <w:tcPr>
            <w:tcW w:w="1058" w:type="dxa"/>
          </w:tcPr>
          <w:p w14:paraId="592AEC8D" w14:textId="77777777" w:rsidR="002B2914" w:rsidRDefault="002B2914" w:rsidP="00EE4F9B">
            <w:r>
              <w:t>21 girls</w:t>
            </w:r>
          </w:p>
          <w:p w14:paraId="6EBA16EC" w14:textId="326B3E8C" w:rsidR="002B2914" w:rsidRDefault="002B2914" w:rsidP="00EE4F9B">
            <w:r>
              <w:t>25 boys</w:t>
            </w:r>
          </w:p>
        </w:tc>
        <w:tc>
          <w:tcPr>
            <w:tcW w:w="1058" w:type="dxa"/>
          </w:tcPr>
          <w:p w14:paraId="1E2693EB" w14:textId="77777777" w:rsidR="002B2914" w:rsidRDefault="002B2914" w:rsidP="00EE4F9B">
            <w:r>
              <w:t>21 girls</w:t>
            </w:r>
          </w:p>
          <w:p w14:paraId="740E471B" w14:textId="794FA341" w:rsidR="002B2914" w:rsidRDefault="002B2914" w:rsidP="00EE4F9B">
            <w:r>
              <w:t>25 boys</w:t>
            </w:r>
          </w:p>
        </w:tc>
        <w:tc>
          <w:tcPr>
            <w:tcW w:w="1069" w:type="dxa"/>
          </w:tcPr>
          <w:p w14:paraId="2784708E" w14:textId="77777777" w:rsidR="002B2914" w:rsidRDefault="002B2914" w:rsidP="00EE4F9B">
            <w:r>
              <w:t>13 girls</w:t>
            </w:r>
          </w:p>
          <w:p w14:paraId="62CABBE3" w14:textId="5D60A3E2" w:rsidR="002B2914" w:rsidRDefault="002B2914" w:rsidP="00EE4F9B">
            <w:r>
              <w:t>22 boys</w:t>
            </w:r>
          </w:p>
        </w:tc>
        <w:tc>
          <w:tcPr>
            <w:tcW w:w="1066" w:type="dxa"/>
          </w:tcPr>
          <w:p w14:paraId="7828040E" w14:textId="77777777" w:rsidR="002B2914" w:rsidRDefault="002B2914" w:rsidP="00EE4F9B">
            <w:r>
              <w:t>13 girls</w:t>
            </w:r>
          </w:p>
          <w:p w14:paraId="1696CEA8" w14:textId="5D6E11B1" w:rsidR="002B2914" w:rsidRDefault="002B2914" w:rsidP="00EE4F9B">
            <w:r>
              <w:t>17 boys</w:t>
            </w:r>
          </w:p>
        </w:tc>
        <w:tc>
          <w:tcPr>
            <w:tcW w:w="1007" w:type="dxa"/>
          </w:tcPr>
          <w:p w14:paraId="1CAC587A" w14:textId="77777777" w:rsidR="002B2914" w:rsidRDefault="002B2914" w:rsidP="00EE4F9B">
            <w:r>
              <w:t>8 girls</w:t>
            </w:r>
          </w:p>
          <w:p w14:paraId="79E8C8E5" w14:textId="1BD0024F" w:rsidR="002B2914" w:rsidRDefault="002B2914" w:rsidP="00EE4F9B">
            <w:r>
              <w:t>8 boys</w:t>
            </w:r>
          </w:p>
          <w:p w14:paraId="3282B8AE" w14:textId="4263B4E9" w:rsidR="002B2914" w:rsidRDefault="002B2914" w:rsidP="00EE4F9B"/>
        </w:tc>
        <w:tc>
          <w:tcPr>
            <w:tcW w:w="1071" w:type="dxa"/>
          </w:tcPr>
          <w:p w14:paraId="3E6B26C0" w14:textId="77777777" w:rsidR="002B2914" w:rsidRDefault="002B2914" w:rsidP="00EE4F9B">
            <w:r>
              <w:t>8 girls</w:t>
            </w:r>
          </w:p>
          <w:p w14:paraId="5BF3C726" w14:textId="59D29649" w:rsidR="002B2914" w:rsidRDefault="002B2914" w:rsidP="00EE4F9B">
            <w:r>
              <w:t>9 boys</w:t>
            </w:r>
          </w:p>
        </w:tc>
        <w:tc>
          <w:tcPr>
            <w:tcW w:w="977" w:type="dxa"/>
          </w:tcPr>
          <w:p w14:paraId="7552FC4D" w14:textId="77777777" w:rsidR="002B2914" w:rsidRDefault="00022AFD" w:rsidP="00EE4F9B">
            <w:r>
              <w:t>104 girls</w:t>
            </w:r>
          </w:p>
          <w:p w14:paraId="21D8EC3A" w14:textId="062DF372" w:rsidR="00022AFD" w:rsidRDefault="00022AFD" w:rsidP="00EE4F9B">
            <w:r>
              <w:t>141 boys</w:t>
            </w:r>
          </w:p>
        </w:tc>
      </w:tr>
      <w:tr w:rsidR="00867E47" w14:paraId="6B5CF3AB" w14:textId="19EB3E25" w:rsidTr="00022AFD">
        <w:trPr>
          <w:trHeight w:val="380"/>
        </w:trPr>
        <w:tc>
          <w:tcPr>
            <w:tcW w:w="1360" w:type="dxa"/>
            <w:vMerge w:val="restart"/>
          </w:tcPr>
          <w:p w14:paraId="1428EFAD" w14:textId="19ABB4A7" w:rsidR="002B2914" w:rsidRDefault="002B2914" w:rsidP="00EE4F9B">
            <w:r>
              <w:t>PP ability band</w:t>
            </w:r>
          </w:p>
        </w:tc>
        <w:tc>
          <w:tcPr>
            <w:tcW w:w="1056" w:type="dxa"/>
          </w:tcPr>
          <w:p w14:paraId="017F8DA1" w14:textId="092F68D6" w:rsidR="002B2914" w:rsidRDefault="002B2914" w:rsidP="00EE4F9B">
            <w:r>
              <w:t>L = 17</w:t>
            </w:r>
          </w:p>
        </w:tc>
        <w:tc>
          <w:tcPr>
            <w:tcW w:w="1058" w:type="dxa"/>
          </w:tcPr>
          <w:p w14:paraId="1568FB6F" w14:textId="43DF2266" w:rsidR="002B2914" w:rsidRDefault="002B2914" w:rsidP="00EE4F9B">
            <w:r>
              <w:t>L = 18</w:t>
            </w:r>
          </w:p>
        </w:tc>
        <w:tc>
          <w:tcPr>
            <w:tcW w:w="1058" w:type="dxa"/>
          </w:tcPr>
          <w:p w14:paraId="77828FAA" w14:textId="0AF57883" w:rsidR="002B2914" w:rsidRDefault="002B2914" w:rsidP="00EE4F9B">
            <w:r>
              <w:t>L = 19</w:t>
            </w:r>
          </w:p>
        </w:tc>
        <w:tc>
          <w:tcPr>
            <w:tcW w:w="1069" w:type="dxa"/>
          </w:tcPr>
          <w:p w14:paraId="66CE56E4" w14:textId="00499F56" w:rsidR="002B2914" w:rsidRDefault="002B2914" w:rsidP="00EE4F9B">
            <w:r>
              <w:t>L = 20</w:t>
            </w:r>
          </w:p>
        </w:tc>
        <w:tc>
          <w:tcPr>
            <w:tcW w:w="1066" w:type="dxa"/>
          </w:tcPr>
          <w:p w14:paraId="14E8613E" w14:textId="5867C6EB" w:rsidR="002B2914" w:rsidRDefault="002B2914" w:rsidP="00EE4F9B">
            <w:r>
              <w:t>L = 9</w:t>
            </w:r>
          </w:p>
        </w:tc>
        <w:tc>
          <w:tcPr>
            <w:tcW w:w="1007" w:type="dxa"/>
          </w:tcPr>
          <w:p w14:paraId="31E73707" w14:textId="01C9CB2F" w:rsidR="002B2914" w:rsidRDefault="002B2914" w:rsidP="00EE4F9B"/>
        </w:tc>
        <w:tc>
          <w:tcPr>
            <w:tcW w:w="1071" w:type="dxa"/>
          </w:tcPr>
          <w:p w14:paraId="0E36E788" w14:textId="4BB2C373" w:rsidR="002B2914" w:rsidRDefault="002B2914" w:rsidP="00EE4F9B">
            <w:r>
              <w:t xml:space="preserve">L = </w:t>
            </w:r>
          </w:p>
        </w:tc>
        <w:tc>
          <w:tcPr>
            <w:tcW w:w="977" w:type="dxa"/>
          </w:tcPr>
          <w:p w14:paraId="70BBD972" w14:textId="534DEF32" w:rsidR="002B2914" w:rsidRDefault="00022AFD" w:rsidP="00EE4F9B">
            <w:r>
              <w:t>L = 83</w:t>
            </w:r>
          </w:p>
        </w:tc>
      </w:tr>
      <w:tr w:rsidR="00867E47" w14:paraId="2A7E75C6" w14:textId="7191D99B" w:rsidTr="00022AFD">
        <w:trPr>
          <w:trHeight w:val="380"/>
        </w:trPr>
        <w:tc>
          <w:tcPr>
            <w:tcW w:w="1360" w:type="dxa"/>
            <w:vMerge/>
          </w:tcPr>
          <w:p w14:paraId="29BBF3F2" w14:textId="77777777" w:rsidR="002B2914" w:rsidRDefault="002B2914" w:rsidP="00EE4F9B"/>
        </w:tc>
        <w:tc>
          <w:tcPr>
            <w:tcW w:w="1056" w:type="dxa"/>
          </w:tcPr>
          <w:p w14:paraId="2A8A5A7D" w14:textId="552426EA" w:rsidR="002B2914" w:rsidRDefault="002B2914" w:rsidP="00EE4F9B">
            <w:r>
              <w:t>M = 15</w:t>
            </w:r>
          </w:p>
        </w:tc>
        <w:tc>
          <w:tcPr>
            <w:tcW w:w="1058" w:type="dxa"/>
          </w:tcPr>
          <w:p w14:paraId="18BE4381" w14:textId="145C91BE" w:rsidR="002B2914" w:rsidRDefault="002B2914" w:rsidP="00EE4F9B">
            <w:r>
              <w:t>M = 24</w:t>
            </w:r>
          </w:p>
        </w:tc>
        <w:tc>
          <w:tcPr>
            <w:tcW w:w="1058" w:type="dxa"/>
          </w:tcPr>
          <w:p w14:paraId="56307A63" w14:textId="2013AF12" w:rsidR="002B2914" w:rsidRDefault="002B2914" w:rsidP="00EE4F9B">
            <w:r>
              <w:t>M = 36</w:t>
            </w:r>
          </w:p>
        </w:tc>
        <w:tc>
          <w:tcPr>
            <w:tcW w:w="1069" w:type="dxa"/>
          </w:tcPr>
          <w:p w14:paraId="1CD40F98" w14:textId="54A94DEE" w:rsidR="002B2914" w:rsidRDefault="002B2914" w:rsidP="00EE4F9B">
            <w:r>
              <w:t>M = 11</w:t>
            </w:r>
          </w:p>
        </w:tc>
        <w:tc>
          <w:tcPr>
            <w:tcW w:w="1066" w:type="dxa"/>
          </w:tcPr>
          <w:p w14:paraId="0E66F5B7" w14:textId="60183C82" w:rsidR="002B2914" w:rsidRDefault="002B2914" w:rsidP="00EE4F9B">
            <w:r>
              <w:t>M = 18</w:t>
            </w:r>
          </w:p>
        </w:tc>
        <w:tc>
          <w:tcPr>
            <w:tcW w:w="1007" w:type="dxa"/>
          </w:tcPr>
          <w:p w14:paraId="1EED2980" w14:textId="14E2741F" w:rsidR="002B2914" w:rsidRDefault="002B2914" w:rsidP="00EE4F9B">
            <w:r>
              <w:t>M = 7</w:t>
            </w:r>
          </w:p>
        </w:tc>
        <w:tc>
          <w:tcPr>
            <w:tcW w:w="1071" w:type="dxa"/>
          </w:tcPr>
          <w:p w14:paraId="0B5DD9F0" w14:textId="183BB9BF" w:rsidR="002B2914" w:rsidRDefault="002B2914" w:rsidP="00EE4F9B">
            <w:r>
              <w:t>M = 11</w:t>
            </w:r>
          </w:p>
        </w:tc>
        <w:tc>
          <w:tcPr>
            <w:tcW w:w="977" w:type="dxa"/>
          </w:tcPr>
          <w:p w14:paraId="0355FE6E" w14:textId="0A49237D" w:rsidR="002B2914" w:rsidRDefault="00022AFD" w:rsidP="00EE4F9B">
            <w:r>
              <w:t>M = 122</w:t>
            </w:r>
          </w:p>
        </w:tc>
      </w:tr>
      <w:tr w:rsidR="00867E47" w14:paraId="28CBE32C" w14:textId="150E83D3" w:rsidTr="00022AFD">
        <w:trPr>
          <w:trHeight w:val="380"/>
        </w:trPr>
        <w:tc>
          <w:tcPr>
            <w:tcW w:w="1360" w:type="dxa"/>
            <w:vMerge/>
          </w:tcPr>
          <w:p w14:paraId="5078FF80" w14:textId="77777777" w:rsidR="002B2914" w:rsidRDefault="002B2914" w:rsidP="00EE4F9B"/>
        </w:tc>
        <w:tc>
          <w:tcPr>
            <w:tcW w:w="1056" w:type="dxa"/>
          </w:tcPr>
          <w:p w14:paraId="4CEEB1C8" w14:textId="3858750A" w:rsidR="002B2914" w:rsidRDefault="002B2914" w:rsidP="00EE4F9B">
            <w:r>
              <w:t>U = 6</w:t>
            </w:r>
          </w:p>
        </w:tc>
        <w:tc>
          <w:tcPr>
            <w:tcW w:w="1058" w:type="dxa"/>
          </w:tcPr>
          <w:p w14:paraId="7C272F27" w14:textId="189FB1F1" w:rsidR="002B2914" w:rsidRDefault="002B2914" w:rsidP="00EE4F9B">
            <w:r>
              <w:t>U = 2</w:t>
            </w:r>
          </w:p>
        </w:tc>
        <w:tc>
          <w:tcPr>
            <w:tcW w:w="1058" w:type="dxa"/>
          </w:tcPr>
          <w:p w14:paraId="0648E1C9" w14:textId="2E30072D" w:rsidR="002B2914" w:rsidRDefault="002B2914" w:rsidP="00EE4F9B">
            <w:r>
              <w:t>U = 5</w:t>
            </w:r>
          </w:p>
        </w:tc>
        <w:tc>
          <w:tcPr>
            <w:tcW w:w="1069" w:type="dxa"/>
          </w:tcPr>
          <w:p w14:paraId="350A7DD0" w14:textId="6687BE70" w:rsidR="002B2914" w:rsidRDefault="002B2914" w:rsidP="00EE4F9B">
            <w:r>
              <w:t>U = 4</w:t>
            </w:r>
          </w:p>
        </w:tc>
        <w:tc>
          <w:tcPr>
            <w:tcW w:w="1066" w:type="dxa"/>
          </w:tcPr>
          <w:p w14:paraId="6E896B54" w14:textId="1CD642F0" w:rsidR="002B2914" w:rsidRDefault="002B2914" w:rsidP="00EE4F9B">
            <w:r>
              <w:t>U = 3</w:t>
            </w:r>
          </w:p>
        </w:tc>
        <w:tc>
          <w:tcPr>
            <w:tcW w:w="1007" w:type="dxa"/>
          </w:tcPr>
          <w:p w14:paraId="28E75C65" w14:textId="09A3B3FF" w:rsidR="002B2914" w:rsidRDefault="002B2914" w:rsidP="00EE4F9B">
            <w:r>
              <w:t>U = 5</w:t>
            </w:r>
          </w:p>
        </w:tc>
        <w:tc>
          <w:tcPr>
            <w:tcW w:w="1071" w:type="dxa"/>
          </w:tcPr>
          <w:p w14:paraId="4ED0514D" w14:textId="2400F2EA" w:rsidR="002B2914" w:rsidRDefault="002B2914" w:rsidP="00EE4F9B">
            <w:r>
              <w:t>U = 6</w:t>
            </w:r>
          </w:p>
        </w:tc>
        <w:tc>
          <w:tcPr>
            <w:tcW w:w="977" w:type="dxa"/>
          </w:tcPr>
          <w:p w14:paraId="68E40287" w14:textId="5105D20E" w:rsidR="002B2914" w:rsidRDefault="00022AFD" w:rsidP="00EE4F9B">
            <w:r>
              <w:t>U = 31</w:t>
            </w:r>
          </w:p>
        </w:tc>
      </w:tr>
    </w:tbl>
    <w:p w14:paraId="3CC8F976" w14:textId="77777777" w:rsidR="00EE4F9B" w:rsidRPr="00EE4F9B" w:rsidRDefault="00EE4F9B" w:rsidP="00EE4F9B"/>
    <w:p w14:paraId="2A7D54EB" w14:textId="5AA8D8BA"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59"/>
        <w:gridCol w:w="8027"/>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BB7F" w14:textId="268F7345" w:rsidR="00A6047C" w:rsidRPr="00A50F03" w:rsidRDefault="00A6047C" w:rsidP="00A6047C">
            <w:pPr>
              <w:autoSpaceDN/>
              <w:spacing w:before="60" w:after="120" w:line="240" w:lineRule="auto"/>
              <w:ind w:left="35" w:right="57"/>
              <w:rPr>
                <w:rFonts w:cs="Arial"/>
                <w:iCs/>
                <w:color w:val="auto"/>
                <w:lang w:val="en-US"/>
              </w:rPr>
            </w:pPr>
            <w:r w:rsidRPr="00A50F03">
              <w:rPr>
                <w:rFonts w:cs="Arial"/>
                <w:iCs/>
                <w:color w:val="auto"/>
                <w:lang w:val="en-US"/>
              </w:rPr>
              <w:t xml:space="preserve">Our attendance data over the last </w:t>
            </w:r>
            <w:r w:rsidR="00E44AA8">
              <w:rPr>
                <w:rFonts w:cs="Arial"/>
                <w:iCs/>
                <w:color w:val="auto"/>
                <w:lang w:val="en-US"/>
              </w:rPr>
              <w:t>3</w:t>
            </w:r>
            <w:r w:rsidRPr="00A50F03">
              <w:rPr>
                <w:rFonts w:cs="Arial"/>
                <w:iCs/>
                <w:color w:val="auto"/>
                <w:lang w:val="en-US"/>
              </w:rPr>
              <w:t xml:space="preserve"> years indicates that</w:t>
            </w:r>
            <w:r>
              <w:rPr>
                <w:rFonts w:cs="Arial"/>
                <w:iCs/>
                <w:color w:val="auto"/>
                <w:lang w:val="en-US"/>
              </w:rPr>
              <w:t xml:space="preserve"> </w:t>
            </w:r>
            <w:r w:rsidRPr="00A50F03">
              <w:rPr>
                <w:rFonts w:cs="Arial"/>
                <w:iCs/>
                <w:color w:val="auto"/>
                <w:lang w:val="en-US"/>
              </w:rPr>
              <w:t xml:space="preserve">attendance among disadvantaged pupils has been between </w:t>
            </w:r>
            <w:r w:rsidR="00E44AA8">
              <w:rPr>
                <w:rFonts w:cs="Arial"/>
                <w:iCs/>
                <w:color w:val="auto"/>
                <w:lang w:val="en-US"/>
              </w:rPr>
              <w:t>3-7</w:t>
            </w:r>
            <w:r w:rsidRPr="00A50F03">
              <w:rPr>
                <w:rFonts w:cs="Arial"/>
                <w:iCs/>
                <w:color w:val="auto"/>
                <w:lang w:val="en-US"/>
              </w:rPr>
              <w:t>% lower than for non-disadvantaged pupils.</w:t>
            </w:r>
          </w:p>
          <w:p w14:paraId="2A7D54F1" w14:textId="5F3D9828" w:rsidR="00E66558" w:rsidRDefault="00E44AA8" w:rsidP="00A6047C">
            <w:pPr>
              <w:pStyle w:val="TableRowCentered"/>
              <w:jc w:val="left"/>
            </w:pPr>
            <w:r>
              <w:rPr>
                <w:rFonts w:cs="Arial"/>
                <w:iCs/>
                <w:color w:val="auto"/>
                <w:lang w:val="en-US"/>
              </w:rPr>
              <w:t>49</w:t>
            </w:r>
            <w:r w:rsidR="00A6047C" w:rsidRPr="00A50F03">
              <w:rPr>
                <w:rFonts w:cs="Arial"/>
                <w:iCs/>
                <w:color w:val="auto"/>
                <w:lang w:val="en-US"/>
              </w:rPr>
              <w:t xml:space="preserve">% of disadvantaged pupils have been ‘persistently absent’ compared to </w:t>
            </w:r>
            <w:r>
              <w:rPr>
                <w:rFonts w:cs="Arial"/>
                <w:iCs/>
                <w:color w:val="auto"/>
                <w:lang w:val="en-US"/>
              </w:rPr>
              <w:t>18.1</w:t>
            </w:r>
            <w:r w:rsidR="00A6047C" w:rsidRPr="00A50F03">
              <w:rPr>
                <w:rFonts w:cs="Arial"/>
                <w:iCs/>
                <w:color w:val="auto"/>
                <w:lang w:val="en-US"/>
              </w:rPr>
              <w:t>% of their peers during that period</w:t>
            </w:r>
            <w:r>
              <w:rPr>
                <w:rFonts w:cs="Arial"/>
                <w:iCs/>
                <w:color w:val="auto"/>
                <w:lang w:val="en-US"/>
              </w:rPr>
              <w:t xml:space="preserve"> this is a gap of -31.4% for the 2022-2023 academic year</w:t>
            </w:r>
            <w:r w:rsidR="00A6047C" w:rsidRPr="00A50F03">
              <w:rPr>
                <w:rFonts w:cs="Arial"/>
                <w:iCs/>
                <w:color w:val="auto"/>
                <w:lang w:val="en-US"/>
              </w:rPr>
              <w:t>. Our assessments and observations indicate that absenteeism is negatively impacting disadvantaged pupils’ progress.</w:t>
            </w:r>
          </w:p>
        </w:tc>
      </w:tr>
      <w:tr w:rsidR="009C67E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9C67E3" w:rsidRPr="0096334E" w:rsidRDefault="009C67E3" w:rsidP="009C67E3">
            <w:pPr>
              <w:pStyle w:val="TableRow"/>
              <w:rPr>
                <w:sz w:val="22"/>
                <w:szCs w:val="22"/>
              </w:rPr>
            </w:pPr>
            <w:r w:rsidRPr="0096334E">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B080" w14:textId="77777777" w:rsidR="001A5759" w:rsidRDefault="001A5759" w:rsidP="00A6047C">
            <w:pPr>
              <w:autoSpaceDN/>
              <w:spacing w:before="60" w:line="240" w:lineRule="auto"/>
              <w:ind w:left="57" w:right="57"/>
              <w:rPr>
                <w:color w:val="auto"/>
              </w:rPr>
            </w:pPr>
            <w:r>
              <w:rPr>
                <w:color w:val="auto"/>
              </w:rPr>
              <w:t xml:space="preserve">The entry points for disadvantaged students </w:t>
            </w:r>
            <w:proofErr w:type="gramStart"/>
            <w:r>
              <w:rPr>
                <w:color w:val="auto"/>
              </w:rPr>
              <w:t>is</w:t>
            </w:r>
            <w:proofErr w:type="gramEnd"/>
            <w:r>
              <w:rPr>
                <w:color w:val="auto"/>
              </w:rPr>
              <w:t xml:space="preserve"> significantly lower than that of their peers.</w:t>
            </w:r>
          </w:p>
          <w:p w14:paraId="6FF82C9A" w14:textId="77777777" w:rsidR="001A5759" w:rsidRDefault="001A5759" w:rsidP="00A6047C">
            <w:pPr>
              <w:autoSpaceDN/>
              <w:spacing w:before="60" w:line="240" w:lineRule="auto"/>
              <w:ind w:left="57" w:right="57"/>
              <w:rPr>
                <w:color w:val="auto"/>
              </w:rPr>
            </w:pPr>
            <w:r>
              <w:rPr>
                <w:color w:val="auto"/>
              </w:rPr>
              <w:t>In Year 7 41% of PP students are low prior attainers.</w:t>
            </w:r>
          </w:p>
          <w:tbl>
            <w:tblPr>
              <w:tblW w:w="7797" w:type="dxa"/>
              <w:tblCellMar>
                <w:left w:w="0" w:type="dxa"/>
                <w:right w:w="0" w:type="dxa"/>
              </w:tblCellMar>
              <w:tblLook w:val="04A0" w:firstRow="1" w:lastRow="0" w:firstColumn="1" w:lastColumn="0" w:noHBand="0" w:noVBand="1"/>
            </w:tblPr>
            <w:tblGrid>
              <w:gridCol w:w="1786"/>
              <w:gridCol w:w="684"/>
              <w:gridCol w:w="684"/>
              <w:gridCol w:w="670"/>
              <w:gridCol w:w="438"/>
              <w:gridCol w:w="807"/>
              <w:gridCol w:w="781"/>
              <w:gridCol w:w="578"/>
              <w:gridCol w:w="785"/>
              <w:gridCol w:w="578"/>
            </w:tblGrid>
            <w:tr w:rsidR="001A5759" w14:paraId="38706218" w14:textId="77777777" w:rsidTr="001A5759">
              <w:trPr>
                <w:trHeight w:val="540"/>
              </w:trPr>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34A1CA" w14:textId="77777777" w:rsidR="001A5759" w:rsidRDefault="001A5759" w:rsidP="001A5759">
                  <w:pPr>
                    <w:jc w:val="center"/>
                    <w:rPr>
                      <w:rFonts w:ascii="Gadugi" w:hAnsi="Gadugi"/>
                      <w:color w:val="auto"/>
                      <w:sz w:val="20"/>
                      <w:szCs w:val="20"/>
                    </w:rPr>
                  </w:pPr>
                  <w:r>
                    <w:rPr>
                      <w:rFonts w:ascii="Gadugi" w:hAnsi="Gadugi"/>
                      <w:sz w:val="20"/>
                      <w:szCs w:val="20"/>
                    </w:rPr>
                    <w:t> </w:t>
                  </w:r>
                </w:p>
              </w:tc>
              <w:tc>
                <w:tcPr>
                  <w:tcW w:w="2025"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2FABE3" w14:textId="77777777" w:rsidR="001A5759" w:rsidRDefault="001A5759" w:rsidP="001A5759">
                  <w:pPr>
                    <w:jc w:val="center"/>
                    <w:rPr>
                      <w:rFonts w:ascii="Gadugi" w:hAnsi="Gadugi"/>
                      <w:b/>
                      <w:bCs/>
                      <w:sz w:val="20"/>
                      <w:szCs w:val="20"/>
                    </w:rPr>
                  </w:pPr>
                  <w:r>
                    <w:rPr>
                      <w:rFonts w:ascii="Gadugi" w:hAnsi="Gadugi"/>
                      <w:b/>
                      <w:bCs/>
                      <w:sz w:val="20"/>
                      <w:szCs w:val="20"/>
                    </w:rPr>
                    <w:t>Average Scaled Score</w:t>
                  </w:r>
                </w:p>
              </w:tc>
              <w:tc>
                <w:tcPr>
                  <w:tcW w:w="203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6E1CD59" w14:textId="77777777" w:rsidR="001A5759" w:rsidRDefault="001A5759" w:rsidP="001A5759">
                  <w:pPr>
                    <w:jc w:val="center"/>
                    <w:rPr>
                      <w:rFonts w:ascii="Gadugi" w:hAnsi="Gadugi"/>
                      <w:b/>
                      <w:bCs/>
                      <w:sz w:val="20"/>
                      <w:szCs w:val="20"/>
                    </w:rPr>
                  </w:pPr>
                  <w:r>
                    <w:rPr>
                      <w:rFonts w:ascii="Gadugi" w:hAnsi="Gadugi"/>
                      <w:b/>
                      <w:bCs/>
                      <w:sz w:val="20"/>
                      <w:szCs w:val="20"/>
                    </w:rPr>
                    <w:t>Student with less than 100</w:t>
                  </w:r>
                </w:p>
              </w:tc>
              <w:tc>
                <w:tcPr>
                  <w:tcW w:w="1925"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8FBDC8" w14:textId="775F893F" w:rsidR="001A5759" w:rsidRDefault="001A5759" w:rsidP="001A5759">
                  <w:pPr>
                    <w:jc w:val="center"/>
                    <w:rPr>
                      <w:rFonts w:ascii="Gadugi" w:hAnsi="Gadugi"/>
                      <w:b/>
                      <w:bCs/>
                      <w:sz w:val="20"/>
                      <w:szCs w:val="20"/>
                    </w:rPr>
                  </w:pPr>
                  <w:r>
                    <w:rPr>
                      <w:rFonts w:ascii="Gadugi" w:hAnsi="Gadugi"/>
                      <w:b/>
                      <w:bCs/>
                      <w:sz w:val="20"/>
                      <w:szCs w:val="20"/>
                    </w:rPr>
                    <w:t xml:space="preserve">% of </w:t>
                  </w:r>
                  <w:r w:rsidR="004A23CA">
                    <w:rPr>
                      <w:rFonts w:ascii="Gadugi" w:hAnsi="Gadugi"/>
                      <w:b/>
                      <w:bCs/>
                      <w:sz w:val="20"/>
                      <w:szCs w:val="20"/>
                    </w:rPr>
                    <w:t>cohort</w:t>
                  </w:r>
                  <w:r>
                    <w:rPr>
                      <w:rFonts w:ascii="Gadugi" w:hAnsi="Gadugi"/>
                      <w:b/>
                      <w:bCs/>
                      <w:sz w:val="20"/>
                      <w:szCs w:val="20"/>
                    </w:rPr>
                    <w:t xml:space="preserve"> with less than 100</w:t>
                  </w:r>
                </w:p>
              </w:tc>
            </w:tr>
            <w:tr w:rsidR="001A5759" w14:paraId="7B620B5A" w14:textId="77777777" w:rsidTr="001A5759">
              <w:trPr>
                <w:trHeight w:val="465"/>
              </w:trPr>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7014A6" w14:textId="77777777" w:rsidR="001A5759" w:rsidRDefault="001A5759" w:rsidP="001A5759">
                  <w:pPr>
                    <w:jc w:val="center"/>
                    <w:rPr>
                      <w:rFonts w:ascii="Gadugi" w:hAnsi="Gadugi"/>
                      <w:sz w:val="20"/>
                      <w:szCs w:val="20"/>
                    </w:rPr>
                  </w:pPr>
                  <w:r>
                    <w:rPr>
                      <w:rFonts w:ascii="Gadugi" w:hAnsi="Gadugi"/>
                      <w:sz w:val="20"/>
                      <w:szCs w:val="20"/>
                    </w:rPr>
                    <w:t> </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D50DA7" w14:textId="77777777" w:rsidR="001A5759" w:rsidRDefault="001A5759" w:rsidP="001A5759">
                  <w:pPr>
                    <w:jc w:val="center"/>
                    <w:rPr>
                      <w:rFonts w:ascii="Gadugi" w:hAnsi="Gadugi"/>
                      <w:sz w:val="20"/>
                      <w:szCs w:val="20"/>
                    </w:rPr>
                  </w:pPr>
                  <w:r>
                    <w:rPr>
                      <w:rFonts w:ascii="Gadugi" w:hAnsi="Gadugi"/>
                      <w:sz w:val="20"/>
                      <w:szCs w:val="20"/>
                    </w:rPr>
                    <w:t>PP</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9A858" w14:textId="77777777" w:rsidR="001A5759" w:rsidRDefault="001A5759" w:rsidP="001A5759">
                  <w:pPr>
                    <w:jc w:val="center"/>
                    <w:rPr>
                      <w:rFonts w:ascii="Gadugi" w:hAnsi="Gadugi"/>
                      <w:sz w:val="20"/>
                      <w:szCs w:val="20"/>
                    </w:rPr>
                  </w:pPr>
                  <w:proofErr w:type="gramStart"/>
                  <w:r>
                    <w:rPr>
                      <w:rFonts w:ascii="Gadugi" w:hAnsi="Gadugi"/>
                      <w:sz w:val="20"/>
                      <w:szCs w:val="20"/>
                    </w:rPr>
                    <w:t>Non PP</w:t>
                  </w:r>
                  <w:proofErr w:type="gramEnd"/>
                </w:p>
              </w:tc>
              <w:tc>
                <w:tcPr>
                  <w:tcW w:w="6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C084B" w14:textId="77777777" w:rsidR="001A5759" w:rsidRDefault="001A5759" w:rsidP="001A5759">
                  <w:pPr>
                    <w:jc w:val="center"/>
                    <w:rPr>
                      <w:rFonts w:ascii="Gadugi" w:hAnsi="Gadugi"/>
                      <w:sz w:val="20"/>
                      <w:szCs w:val="20"/>
                    </w:rPr>
                  </w:pPr>
                  <w:r>
                    <w:rPr>
                      <w:rFonts w:ascii="Gadugi" w:hAnsi="Gadugi"/>
                      <w:sz w:val="20"/>
                      <w:szCs w:val="20"/>
                    </w:rPr>
                    <w:t>Gap</w:t>
                  </w:r>
                </w:p>
              </w:tc>
              <w:tc>
                <w:tcPr>
                  <w:tcW w:w="4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6F44D" w14:textId="77777777" w:rsidR="001A5759" w:rsidRDefault="001A5759" w:rsidP="001A5759">
                  <w:pPr>
                    <w:jc w:val="center"/>
                    <w:rPr>
                      <w:rFonts w:ascii="Gadugi" w:hAnsi="Gadugi"/>
                      <w:sz w:val="20"/>
                      <w:szCs w:val="20"/>
                    </w:rPr>
                  </w:pPr>
                  <w:r>
                    <w:rPr>
                      <w:rFonts w:ascii="Gadugi" w:hAnsi="Gadugi"/>
                      <w:sz w:val="20"/>
                      <w:szCs w:val="20"/>
                    </w:rPr>
                    <w:t>PP</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6D349" w14:textId="77777777" w:rsidR="001A5759" w:rsidRDefault="001A5759" w:rsidP="001A5759">
                  <w:pPr>
                    <w:jc w:val="center"/>
                    <w:rPr>
                      <w:rFonts w:ascii="Gadugi" w:hAnsi="Gadugi"/>
                      <w:sz w:val="20"/>
                      <w:szCs w:val="20"/>
                    </w:rPr>
                  </w:pPr>
                  <w:proofErr w:type="gramStart"/>
                  <w:r>
                    <w:rPr>
                      <w:rFonts w:ascii="Gadugi" w:hAnsi="Gadugi"/>
                      <w:sz w:val="20"/>
                      <w:szCs w:val="20"/>
                    </w:rPr>
                    <w:t>Non PP</w:t>
                  </w:r>
                  <w:proofErr w:type="gramEnd"/>
                </w:p>
              </w:tc>
              <w:tc>
                <w:tcPr>
                  <w:tcW w:w="7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0482E4" w14:textId="77777777" w:rsidR="001A5759" w:rsidRDefault="001A5759" w:rsidP="001A5759">
                  <w:pPr>
                    <w:jc w:val="center"/>
                    <w:rPr>
                      <w:rFonts w:ascii="Gadugi" w:hAnsi="Gadugi"/>
                      <w:sz w:val="20"/>
                      <w:szCs w:val="20"/>
                    </w:rPr>
                  </w:pPr>
                  <w:r>
                    <w:rPr>
                      <w:rFonts w:ascii="Gadugi" w:hAnsi="Gadugi"/>
                      <w:sz w:val="20"/>
                      <w:szCs w:val="20"/>
                    </w:rPr>
                    <w:t>Gap</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E49E8" w14:textId="77777777" w:rsidR="001A5759" w:rsidRDefault="001A5759" w:rsidP="001A5759">
                  <w:pPr>
                    <w:jc w:val="center"/>
                    <w:rPr>
                      <w:rFonts w:ascii="Gadugi" w:hAnsi="Gadugi"/>
                      <w:sz w:val="20"/>
                      <w:szCs w:val="20"/>
                    </w:rPr>
                  </w:pPr>
                  <w:r>
                    <w:rPr>
                      <w:rFonts w:ascii="Gadugi" w:hAnsi="Gadugi"/>
                      <w:sz w:val="20"/>
                      <w:szCs w:val="20"/>
                    </w:rPr>
                    <w:t>PP</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62465" w14:textId="77777777" w:rsidR="001A5759" w:rsidRDefault="001A5759" w:rsidP="001A5759">
                  <w:pPr>
                    <w:jc w:val="center"/>
                    <w:rPr>
                      <w:rFonts w:ascii="Gadugi" w:hAnsi="Gadugi"/>
                      <w:sz w:val="20"/>
                      <w:szCs w:val="20"/>
                    </w:rPr>
                  </w:pPr>
                  <w:proofErr w:type="gramStart"/>
                  <w:r>
                    <w:rPr>
                      <w:rFonts w:ascii="Gadugi" w:hAnsi="Gadugi"/>
                      <w:sz w:val="20"/>
                      <w:szCs w:val="20"/>
                    </w:rPr>
                    <w:t>Non PP</w:t>
                  </w:r>
                  <w:proofErr w:type="gramEnd"/>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AF0BBC" w14:textId="77777777" w:rsidR="001A5759" w:rsidRDefault="001A5759" w:rsidP="001A5759">
                  <w:pPr>
                    <w:jc w:val="center"/>
                    <w:rPr>
                      <w:rFonts w:ascii="Gadugi" w:hAnsi="Gadugi"/>
                      <w:sz w:val="20"/>
                      <w:szCs w:val="20"/>
                    </w:rPr>
                  </w:pPr>
                  <w:r>
                    <w:rPr>
                      <w:rFonts w:ascii="Gadugi" w:hAnsi="Gadugi"/>
                      <w:sz w:val="20"/>
                      <w:szCs w:val="20"/>
                    </w:rPr>
                    <w:t>Gap</w:t>
                  </w:r>
                </w:p>
              </w:tc>
            </w:tr>
            <w:tr w:rsidR="001A5759" w14:paraId="571CA9E3" w14:textId="77777777" w:rsidTr="001A5759">
              <w:trPr>
                <w:trHeight w:val="300"/>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A76A6" w14:textId="77777777" w:rsidR="001A5759" w:rsidRDefault="001A5759" w:rsidP="001A5759">
                  <w:pPr>
                    <w:jc w:val="center"/>
                    <w:rPr>
                      <w:rFonts w:ascii="Gadugi" w:hAnsi="Gadugi"/>
                      <w:b/>
                      <w:bCs/>
                      <w:sz w:val="22"/>
                      <w:szCs w:val="22"/>
                    </w:rPr>
                  </w:pPr>
                  <w:r>
                    <w:rPr>
                      <w:rFonts w:ascii="Gadugi" w:hAnsi="Gadugi"/>
                      <w:b/>
                      <w:bCs/>
                      <w:color w:val="000000"/>
                    </w:rPr>
                    <w:t>KS2 Reading Scaled Score</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86C15A" w14:textId="77777777" w:rsidR="001A5759" w:rsidRDefault="001A5759" w:rsidP="001A5759">
                  <w:pPr>
                    <w:jc w:val="center"/>
                    <w:rPr>
                      <w:rFonts w:ascii="Gadugi" w:hAnsi="Gadugi"/>
                      <w:sz w:val="20"/>
                      <w:szCs w:val="20"/>
                    </w:rPr>
                  </w:pPr>
                  <w:r>
                    <w:rPr>
                      <w:rFonts w:ascii="Gadugi" w:hAnsi="Gadugi"/>
                      <w:sz w:val="20"/>
                      <w:szCs w:val="20"/>
                    </w:rPr>
                    <w:t>100.4</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48E0F" w14:textId="77777777" w:rsidR="001A5759" w:rsidRDefault="001A5759" w:rsidP="001A5759">
                  <w:pPr>
                    <w:jc w:val="center"/>
                    <w:rPr>
                      <w:rFonts w:ascii="Gadugi" w:hAnsi="Gadugi"/>
                      <w:sz w:val="20"/>
                      <w:szCs w:val="20"/>
                    </w:rPr>
                  </w:pPr>
                  <w:r>
                    <w:rPr>
                      <w:rFonts w:ascii="Gadugi" w:hAnsi="Gadugi"/>
                      <w:sz w:val="20"/>
                      <w:szCs w:val="20"/>
                    </w:rPr>
                    <w:t>105.8</w:t>
                  </w:r>
                </w:p>
              </w:tc>
              <w:tc>
                <w:tcPr>
                  <w:tcW w:w="677"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5DBAB2A9" w14:textId="77777777" w:rsidR="001A5759" w:rsidRDefault="001A5759" w:rsidP="001A5759">
                  <w:pPr>
                    <w:jc w:val="center"/>
                    <w:rPr>
                      <w:rFonts w:ascii="Gadugi" w:hAnsi="Gadugi"/>
                      <w:sz w:val="20"/>
                      <w:szCs w:val="20"/>
                    </w:rPr>
                  </w:pPr>
                  <w:r>
                    <w:rPr>
                      <w:rFonts w:ascii="Gadugi" w:hAnsi="Gadugi"/>
                      <w:color w:val="000000"/>
                      <w:sz w:val="20"/>
                      <w:szCs w:val="20"/>
                    </w:rPr>
                    <w:t>-5.4</w:t>
                  </w:r>
                </w:p>
              </w:tc>
              <w:tc>
                <w:tcPr>
                  <w:tcW w:w="4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64D5BC" w14:textId="77777777" w:rsidR="001A5759" w:rsidRDefault="001A5759" w:rsidP="001A5759">
                  <w:pPr>
                    <w:jc w:val="center"/>
                    <w:rPr>
                      <w:rFonts w:ascii="Gadugi" w:hAnsi="Gadugi"/>
                      <w:sz w:val="20"/>
                      <w:szCs w:val="20"/>
                    </w:rPr>
                  </w:pPr>
                  <w:r>
                    <w:rPr>
                      <w:rFonts w:ascii="Gadugi" w:hAnsi="Gadugi"/>
                      <w:sz w:val="20"/>
                      <w:szCs w:val="20"/>
                    </w:rPr>
                    <w:t>18</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86D0E" w14:textId="77777777" w:rsidR="001A5759" w:rsidRDefault="001A5759" w:rsidP="001A5759">
                  <w:pPr>
                    <w:jc w:val="center"/>
                    <w:rPr>
                      <w:rFonts w:ascii="Gadugi" w:hAnsi="Gadugi"/>
                      <w:sz w:val="20"/>
                      <w:szCs w:val="20"/>
                    </w:rPr>
                  </w:pPr>
                  <w:r>
                    <w:rPr>
                      <w:rFonts w:ascii="Gadugi" w:hAnsi="Gadugi"/>
                      <w:sz w:val="20"/>
                      <w:szCs w:val="20"/>
                    </w:rPr>
                    <w:t>25</w:t>
                  </w:r>
                </w:p>
              </w:tc>
              <w:tc>
                <w:tcPr>
                  <w:tcW w:w="789"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0A2C912C" w14:textId="77777777" w:rsidR="001A5759" w:rsidRDefault="001A5759" w:rsidP="001A5759">
                  <w:pPr>
                    <w:jc w:val="center"/>
                    <w:rPr>
                      <w:rFonts w:ascii="Gadugi" w:hAnsi="Gadugi"/>
                      <w:sz w:val="20"/>
                      <w:szCs w:val="20"/>
                    </w:rPr>
                  </w:pPr>
                  <w:r>
                    <w:rPr>
                      <w:rFonts w:ascii="Gadugi" w:hAnsi="Gadugi"/>
                      <w:color w:val="000000"/>
                      <w:sz w:val="20"/>
                      <w:szCs w:val="20"/>
                    </w:rPr>
                    <w:t>-7</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A0BB7" w14:textId="77777777" w:rsidR="001A5759" w:rsidRDefault="001A5759" w:rsidP="001A5759">
                  <w:pPr>
                    <w:jc w:val="center"/>
                    <w:rPr>
                      <w:rFonts w:ascii="Gadugi" w:hAnsi="Gadugi"/>
                      <w:sz w:val="20"/>
                      <w:szCs w:val="20"/>
                    </w:rPr>
                  </w:pPr>
                  <w:r>
                    <w:rPr>
                      <w:rFonts w:ascii="Gadugi" w:hAnsi="Gadugi"/>
                      <w:sz w:val="20"/>
                      <w:szCs w:val="20"/>
                    </w:rPr>
                    <w:t>47.4</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30574D" w14:textId="77777777" w:rsidR="001A5759" w:rsidRDefault="001A5759" w:rsidP="001A5759">
                  <w:pPr>
                    <w:jc w:val="center"/>
                    <w:rPr>
                      <w:rFonts w:ascii="Gadugi" w:hAnsi="Gadugi"/>
                      <w:sz w:val="20"/>
                      <w:szCs w:val="20"/>
                    </w:rPr>
                  </w:pPr>
                  <w:r>
                    <w:rPr>
                      <w:rFonts w:ascii="Gadugi" w:hAnsi="Gadugi"/>
                      <w:sz w:val="20"/>
                      <w:szCs w:val="20"/>
                    </w:rPr>
                    <w:t>17.9</w:t>
                  </w:r>
                </w:p>
              </w:tc>
              <w:tc>
                <w:tcPr>
                  <w:tcW w:w="566"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2D920D80" w14:textId="77777777" w:rsidR="001A5759" w:rsidRDefault="001A5759" w:rsidP="001A5759">
                  <w:pPr>
                    <w:jc w:val="center"/>
                    <w:rPr>
                      <w:rFonts w:ascii="Gadugi" w:hAnsi="Gadugi"/>
                      <w:sz w:val="20"/>
                      <w:szCs w:val="20"/>
                    </w:rPr>
                  </w:pPr>
                  <w:r>
                    <w:rPr>
                      <w:rFonts w:ascii="Gadugi" w:hAnsi="Gadugi"/>
                      <w:color w:val="000000"/>
                      <w:sz w:val="20"/>
                      <w:szCs w:val="20"/>
                    </w:rPr>
                    <w:t>29.5</w:t>
                  </w:r>
                </w:p>
              </w:tc>
            </w:tr>
            <w:tr w:rsidR="001A5759" w14:paraId="7E4A7D16" w14:textId="77777777" w:rsidTr="001A5759">
              <w:trPr>
                <w:trHeight w:val="300"/>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E40C3" w14:textId="77777777" w:rsidR="001A5759" w:rsidRDefault="001A5759" w:rsidP="001A5759">
                  <w:pPr>
                    <w:jc w:val="center"/>
                    <w:rPr>
                      <w:rFonts w:ascii="Gadugi" w:hAnsi="Gadugi"/>
                      <w:b/>
                      <w:bCs/>
                      <w:sz w:val="22"/>
                      <w:szCs w:val="22"/>
                    </w:rPr>
                  </w:pPr>
                  <w:r>
                    <w:rPr>
                      <w:rFonts w:ascii="Gadugi" w:hAnsi="Gadugi"/>
                      <w:b/>
                      <w:bCs/>
                      <w:color w:val="000000"/>
                    </w:rPr>
                    <w:t>KS3 Maths Scaled Score</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71D68" w14:textId="77777777" w:rsidR="001A5759" w:rsidRDefault="001A5759" w:rsidP="001A5759">
                  <w:pPr>
                    <w:jc w:val="center"/>
                    <w:rPr>
                      <w:rFonts w:ascii="Gadugi" w:hAnsi="Gadugi"/>
                      <w:sz w:val="20"/>
                      <w:szCs w:val="20"/>
                    </w:rPr>
                  </w:pPr>
                  <w:r>
                    <w:rPr>
                      <w:rFonts w:ascii="Gadugi" w:hAnsi="Gadugi"/>
                      <w:sz w:val="20"/>
                      <w:szCs w:val="20"/>
                    </w:rPr>
                    <w:t>100.3</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FEAD5" w14:textId="77777777" w:rsidR="001A5759" w:rsidRDefault="001A5759" w:rsidP="001A5759">
                  <w:pPr>
                    <w:jc w:val="center"/>
                    <w:rPr>
                      <w:rFonts w:ascii="Gadugi" w:hAnsi="Gadugi"/>
                      <w:sz w:val="20"/>
                      <w:szCs w:val="20"/>
                    </w:rPr>
                  </w:pPr>
                  <w:r>
                    <w:rPr>
                      <w:rFonts w:ascii="Gadugi" w:hAnsi="Gadugi"/>
                      <w:sz w:val="20"/>
                      <w:szCs w:val="20"/>
                    </w:rPr>
                    <w:t>104.8</w:t>
                  </w:r>
                </w:p>
              </w:tc>
              <w:tc>
                <w:tcPr>
                  <w:tcW w:w="677"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3450EC3C" w14:textId="77777777" w:rsidR="001A5759" w:rsidRDefault="001A5759" w:rsidP="001A5759">
                  <w:pPr>
                    <w:jc w:val="center"/>
                    <w:rPr>
                      <w:rFonts w:ascii="Gadugi" w:hAnsi="Gadugi"/>
                      <w:sz w:val="20"/>
                      <w:szCs w:val="20"/>
                    </w:rPr>
                  </w:pPr>
                  <w:r>
                    <w:rPr>
                      <w:rFonts w:ascii="Gadugi" w:hAnsi="Gadugi"/>
                      <w:color w:val="000000"/>
                      <w:sz w:val="20"/>
                      <w:szCs w:val="20"/>
                    </w:rPr>
                    <w:t>-4.5</w:t>
                  </w:r>
                </w:p>
              </w:tc>
              <w:tc>
                <w:tcPr>
                  <w:tcW w:w="4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838122" w14:textId="77777777" w:rsidR="001A5759" w:rsidRDefault="001A5759" w:rsidP="001A5759">
                  <w:pPr>
                    <w:jc w:val="center"/>
                    <w:rPr>
                      <w:rFonts w:ascii="Gadugi" w:hAnsi="Gadugi"/>
                      <w:sz w:val="20"/>
                      <w:szCs w:val="20"/>
                    </w:rPr>
                  </w:pPr>
                  <w:r>
                    <w:rPr>
                      <w:rFonts w:ascii="Gadugi" w:hAnsi="Gadugi"/>
                      <w:sz w:val="20"/>
                      <w:szCs w:val="20"/>
                    </w:rPr>
                    <w:t>17</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FDA5D5" w14:textId="77777777" w:rsidR="001A5759" w:rsidRDefault="001A5759" w:rsidP="001A5759">
                  <w:pPr>
                    <w:jc w:val="center"/>
                    <w:rPr>
                      <w:rFonts w:ascii="Gadugi" w:hAnsi="Gadugi"/>
                      <w:sz w:val="20"/>
                      <w:szCs w:val="20"/>
                    </w:rPr>
                  </w:pPr>
                  <w:r>
                    <w:rPr>
                      <w:rFonts w:ascii="Gadugi" w:hAnsi="Gadugi"/>
                      <w:sz w:val="20"/>
                      <w:szCs w:val="20"/>
                    </w:rPr>
                    <w:t>41</w:t>
                  </w:r>
                </w:p>
              </w:tc>
              <w:tc>
                <w:tcPr>
                  <w:tcW w:w="789"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27CFA3DD" w14:textId="77777777" w:rsidR="001A5759" w:rsidRDefault="001A5759" w:rsidP="001A5759">
                  <w:pPr>
                    <w:jc w:val="center"/>
                    <w:rPr>
                      <w:rFonts w:ascii="Gadugi" w:hAnsi="Gadugi"/>
                      <w:sz w:val="20"/>
                      <w:szCs w:val="20"/>
                    </w:rPr>
                  </w:pPr>
                  <w:r>
                    <w:rPr>
                      <w:rFonts w:ascii="Gadugi" w:hAnsi="Gadugi"/>
                      <w:color w:val="000000"/>
                      <w:sz w:val="20"/>
                      <w:szCs w:val="20"/>
                    </w:rPr>
                    <w:t>-24</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E13B3" w14:textId="77777777" w:rsidR="001A5759" w:rsidRDefault="001A5759" w:rsidP="001A5759">
                  <w:pPr>
                    <w:jc w:val="center"/>
                    <w:rPr>
                      <w:rFonts w:ascii="Gadugi" w:hAnsi="Gadugi"/>
                      <w:sz w:val="20"/>
                      <w:szCs w:val="20"/>
                    </w:rPr>
                  </w:pPr>
                  <w:r>
                    <w:rPr>
                      <w:rFonts w:ascii="Gadugi" w:hAnsi="Gadugi"/>
                      <w:sz w:val="20"/>
                      <w:szCs w:val="20"/>
                    </w:rPr>
                    <w:t>44.7</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69FA1" w14:textId="77777777" w:rsidR="001A5759" w:rsidRDefault="001A5759" w:rsidP="001A5759">
                  <w:pPr>
                    <w:jc w:val="center"/>
                    <w:rPr>
                      <w:rFonts w:ascii="Gadugi" w:hAnsi="Gadugi"/>
                      <w:sz w:val="20"/>
                      <w:szCs w:val="20"/>
                    </w:rPr>
                  </w:pPr>
                  <w:r>
                    <w:rPr>
                      <w:rFonts w:ascii="Gadugi" w:hAnsi="Gadugi"/>
                      <w:sz w:val="20"/>
                      <w:szCs w:val="20"/>
                    </w:rPr>
                    <w:t>20.9</w:t>
                  </w:r>
                </w:p>
              </w:tc>
              <w:tc>
                <w:tcPr>
                  <w:tcW w:w="566"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0BB6C905" w14:textId="77777777" w:rsidR="001A5759" w:rsidRDefault="001A5759" w:rsidP="001A5759">
                  <w:pPr>
                    <w:jc w:val="center"/>
                    <w:rPr>
                      <w:rFonts w:ascii="Gadugi" w:hAnsi="Gadugi"/>
                      <w:sz w:val="20"/>
                      <w:szCs w:val="20"/>
                    </w:rPr>
                  </w:pPr>
                  <w:r>
                    <w:rPr>
                      <w:rFonts w:ascii="Gadugi" w:hAnsi="Gadugi"/>
                      <w:color w:val="000000"/>
                      <w:sz w:val="20"/>
                      <w:szCs w:val="20"/>
                    </w:rPr>
                    <w:t>23.8</w:t>
                  </w:r>
                </w:p>
              </w:tc>
            </w:tr>
            <w:tr w:rsidR="001A5759" w14:paraId="68640781" w14:textId="77777777" w:rsidTr="001A5759">
              <w:trPr>
                <w:trHeight w:val="300"/>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D9EA5" w14:textId="77777777" w:rsidR="001A5759" w:rsidRDefault="001A5759" w:rsidP="001A5759">
                  <w:pPr>
                    <w:jc w:val="center"/>
                    <w:rPr>
                      <w:rFonts w:ascii="Gadugi" w:hAnsi="Gadugi"/>
                      <w:b/>
                      <w:bCs/>
                      <w:sz w:val="22"/>
                      <w:szCs w:val="22"/>
                    </w:rPr>
                  </w:pPr>
                  <w:r>
                    <w:rPr>
                      <w:rFonts w:ascii="Gadugi" w:hAnsi="Gadugi"/>
                      <w:b/>
                      <w:bCs/>
                      <w:color w:val="000000"/>
                    </w:rPr>
                    <w:t>KS2 Average Scaled Score</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BD7EA" w14:textId="77777777" w:rsidR="001A5759" w:rsidRDefault="001A5759" w:rsidP="001A5759">
                  <w:pPr>
                    <w:jc w:val="center"/>
                    <w:rPr>
                      <w:rFonts w:ascii="Gadugi" w:hAnsi="Gadugi"/>
                      <w:sz w:val="20"/>
                      <w:szCs w:val="20"/>
                    </w:rPr>
                  </w:pPr>
                  <w:r>
                    <w:rPr>
                      <w:rFonts w:ascii="Gadugi" w:hAnsi="Gadugi"/>
                      <w:sz w:val="20"/>
                      <w:szCs w:val="20"/>
                    </w:rPr>
                    <w:t>100.3</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6F9C8" w14:textId="77777777" w:rsidR="001A5759" w:rsidRDefault="001A5759" w:rsidP="001A5759">
                  <w:pPr>
                    <w:jc w:val="center"/>
                    <w:rPr>
                      <w:rFonts w:ascii="Gadugi" w:hAnsi="Gadugi"/>
                      <w:sz w:val="20"/>
                      <w:szCs w:val="20"/>
                    </w:rPr>
                  </w:pPr>
                  <w:r>
                    <w:rPr>
                      <w:rFonts w:ascii="Gadugi" w:hAnsi="Gadugi"/>
                      <w:sz w:val="20"/>
                      <w:szCs w:val="20"/>
                    </w:rPr>
                    <w:t>105.3</w:t>
                  </w:r>
                </w:p>
              </w:tc>
              <w:tc>
                <w:tcPr>
                  <w:tcW w:w="677"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6D295C53" w14:textId="77777777" w:rsidR="001A5759" w:rsidRDefault="001A5759" w:rsidP="001A5759">
                  <w:pPr>
                    <w:jc w:val="center"/>
                    <w:rPr>
                      <w:rFonts w:ascii="Gadugi" w:hAnsi="Gadugi"/>
                      <w:sz w:val="20"/>
                      <w:szCs w:val="20"/>
                    </w:rPr>
                  </w:pPr>
                  <w:r>
                    <w:rPr>
                      <w:rFonts w:ascii="Gadugi" w:hAnsi="Gadugi"/>
                      <w:color w:val="000000"/>
                      <w:sz w:val="20"/>
                      <w:szCs w:val="20"/>
                    </w:rPr>
                    <w:t>-5</w:t>
                  </w:r>
                </w:p>
              </w:tc>
              <w:tc>
                <w:tcPr>
                  <w:tcW w:w="4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7C0EE" w14:textId="77777777" w:rsidR="001A5759" w:rsidRDefault="001A5759" w:rsidP="001A5759">
                  <w:pPr>
                    <w:jc w:val="center"/>
                    <w:rPr>
                      <w:rFonts w:ascii="Gadugi" w:hAnsi="Gadugi"/>
                      <w:sz w:val="20"/>
                      <w:szCs w:val="20"/>
                    </w:rPr>
                  </w:pPr>
                  <w:r>
                    <w:rPr>
                      <w:rFonts w:ascii="Gadugi" w:hAnsi="Gadugi"/>
                      <w:sz w:val="20"/>
                      <w:szCs w:val="20"/>
                    </w:rPr>
                    <w:t>17</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415024" w14:textId="77777777" w:rsidR="001A5759" w:rsidRDefault="001A5759" w:rsidP="001A5759">
                  <w:pPr>
                    <w:jc w:val="center"/>
                    <w:rPr>
                      <w:rFonts w:ascii="Gadugi" w:hAnsi="Gadugi"/>
                      <w:sz w:val="20"/>
                      <w:szCs w:val="20"/>
                    </w:rPr>
                  </w:pPr>
                  <w:r>
                    <w:rPr>
                      <w:rFonts w:ascii="Gadugi" w:hAnsi="Gadugi"/>
                      <w:sz w:val="20"/>
                      <w:szCs w:val="20"/>
                    </w:rPr>
                    <w:t>36</w:t>
                  </w:r>
                </w:p>
              </w:tc>
              <w:tc>
                <w:tcPr>
                  <w:tcW w:w="789"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1CAC3B37" w14:textId="77777777" w:rsidR="001A5759" w:rsidRDefault="001A5759" w:rsidP="001A5759">
                  <w:pPr>
                    <w:jc w:val="center"/>
                    <w:rPr>
                      <w:rFonts w:ascii="Gadugi" w:hAnsi="Gadugi"/>
                      <w:sz w:val="20"/>
                      <w:szCs w:val="20"/>
                    </w:rPr>
                  </w:pPr>
                  <w:r>
                    <w:rPr>
                      <w:rFonts w:ascii="Gadugi" w:hAnsi="Gadugi"/>
                      <w:color w:val="000000"/>
                      <w:sz w:val="20"/>
                      <w:szCs w:val="20"/>
                    </w:rPr>
                    <w:t>-19</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8610F" w14:textId="77777777" w:rsidR="001A5759" w:rsidRDefault="001A5759" w:rsidP="001A5759">
                  <w:pPr>
                    <w:jc w:val="center"/>
                    <w:rPr>
                      <w:rFonts w:ascii="Gadugi" w:hAnsi="Gadugi"/>
                      <w:sz w:val="20"/>
                      <w:szCs w:val="20"/>
                    </w:rPr>
                  </w:pPr>
                  <w:r>
                    <w:rPr>
                      <w:rFonts w:ascii="Gadugi" w:hAnsi="Gadugi"/>
                      <w:sz w:val="20"/>
                      <w:szCs w:val="20"/>
                    </w:rPr>
                    <w:t>44.7</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03924" w14:textId="77777777" w:rsidR="001A5759" w:rsidRDefault="001A5759" w:rsidP="001A5759">
                  <w:pPr>
                    <w:jc w:val="center"/>
                    <w:rPr>
                      <w:rFonts w:ascii="Gadugi" w:hAnsi="Gadugi"/>
                      <w:sz w:val="20"/>
                      <w:szCs w:val="20"/>
                    </w:rPr>
                  </w:pPr>
                  <w:r>
                    <w:rPr>
                      <w:rFonts w:ascii="Gadugi" w:hAnsi="Gadugi"/>
                      <w:sz w:val="20"/>
                      <w:szCs w:val="20"/>
                    </w:rPr>
                    <w:t>18.4</w:t>
                  </w:r>
                </w:p>
              </w:tc>
              <w:tc>
                <w:tcPr>
                  <w:tcW w:w="566" w:type="dxa"/>
                  <w:tcBorders>
                    <w:top w:val="nil"/>
                    <w:left w:val="nil"/>
                    <w:bottom w:val="single" w:sz="8" w:space="0" w:color="auto"/>
                    <w:right w:val="single" w:sz="8" w:space="0" w:color="auto"/>
                  </w:tcBorders>
                  <w:shd w:val="clear" w:color="auto" w:fill="FF9999"/>
                  <w:noWrap/>
                  <w:tcMar>
                    <w:top w:w="0" w:type="dxa"/>
                    <w:left w:w="108" w:type="dxa"/>
                    <w:bottom w:w="0" w:type="dxa"/>
                    <w:right w:w="108" w:type="dxa"/>
                  </w:tcMar>
                  <w:vAlign w:val="center"/>
                  <w:hideMark/>
                </w:tcPr>
                <w:p w14:paraId="2F7CF8DD" w14:textId="77777777" w:rsidR="001A5759" w:rsidRDefault="001A5759" w:rsidP="001A5759">
                  <w:pPr>
                    <w:jc w:val="center"/>
                    <w:rPr>
                      <w:rFonts w:ascii="Gadugi" w:hAnsi="Gadugi"/>
                      <w:sz w:val="20"/>
                      <w:szCs w:val="20"/>
                    </w:rPr>
                  </w:pPr>
                  <w:r>
                    <w:rPr>
                      <w:rFonts w:ascii="Gadugi" w:hAnsi="Gadugi"/>
                      <w:color w:val="000000"/>
                      <w:sz w:val="20"/>
                      <w:szCs w:val="20"/>
                    </w:rPr>
                    <w:t>26.3</w:t>
                  </w:r>
                </w:p>
              </w:tc>
            </w:tr>
          </w:tbl>
          <w:p w14:paraId="2A7D54F4" w14:textId="1E93C1AE" w:rsidR="009C67E3" w:rsidRPr="0096334E" w:rsidRDefault="009C67E3" w:rsidP="00A6047C">
            <w:pPr>
              <w:pStyle w:val="TableRowCentered"/>
              <w:jc w:val="left"/>
              <w:rPr>
                <w:sz w:val="22"/>
                <w:szCs w:val="22"/>
              </w:rPr>
            </w:pPr>
          </w:p>
        </w:tc>
      </w:tr>
      <w:tr w:rsidR="009C67E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9C67E3" w:rsidRDefault="009C67E3" w:rsidP="009C67E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96C0" w14:textId="7C0B5702" w:rsidR="00A6047C" w:rsidRPr="00A50F03" w:rsidRDefault="00A6047C" w:rsidP="00A6047C">
            <w:pPr>
              <w:autoSpaceDN/>
              <w:spacing w:before="60" w:line="240" w:lineRule="auto"/>
              <w:ind w:left="35" w:right="57"/>
              <w:rPr>
                <w:color w:val="auto"/>
              </w:rPr>
            </w:pPr>
            <w:r w:rsidRPr="00A50F03">
              <w:rPr>
                <w:rFonts w:cs="Arial"/>
                <w:iCs/>
                <w:color w:val="auto"/>
                <w:lang w:val="en-US"/>
              </w:rPr>
              <w:t>Our assessments</w:t>
            </w:r>
            <w:r>
              <w:rPr>
                <w:rFonts w:cs="Arial"/>
                <w:iCs/>
                <w:color w:val="auto"/>
                <w:lang w:val="en-US"/>
              </w:rPr>
              <w:t xml:space="preserve">, </w:t>
            </w:r>
            <w:r w:rsidRPr="00A50F03">
              <w:rPr>
                <w:rFonts w:cs="Arial"/>
                <w:iCs/>
                <w:color w:val="auto"/>
                <w:lang w:val="en-US"/>
              </w:rPr>
              <w:t>observations</w:t>
            </w:r>
            <w:r>
              <w:rPr>
                <w:rFonts w:cs="Arial"/>
                <w:iCs/>
                <w:color w:val="auto"/>
                <w:lang w:val="en-US"/>
              </w:rPr>
              <w:t>, internal referrals</w:t>
            </w:r>
            <w:r w:rsidRPr="00A50F03">
              <w:rPr>
                <w:rFonts w:cs="Arial"/>
                <w:iCs/>
                <w:color w:val="auto"/>
                <w:lang w:val="en-US"/>
              </w:rPr>
              <w:t xml:space="preserve"> and discussions with pupils and families have identified social and emotional issues for many pupils, such as</w:t>
            </w:r>
            <w:r w:rsidRPr="00A50F03">
              <w:rPr>
                <w:color w:val="auto"/>
              </w:rPr>
              <w:t xml:space="preserve"> anxiety, depression (diagnosed by medical professionals) and low self-esteem. This is partly driven by concern about catching up lost learning and exams/</w:t>
            </w:r>
            <w:proofErr w:type="gramStart"/>
            <w:r w:rsidRPr="00302C02">
              <w:rPr>
                <w:color w:val="auto"/>
              </w:rPr>
              <w:t>future prospects</w:t>
            </w:r>
            <w:proofErr w:type="gramEnd"/>
            <w:r w:rsidRPr="00A50F03">
              <w:rPr>
                <w:color w:val="auto"/>
              </w:rPr>
              <w:t xml:space="preserve">. </w:t>
            </w:r>
            <w:r w:rsidRPr="00A50F03">
              <w:rPr>
                <w:rFonts w:cs="Arial"/>
                <w:iCs/>
                <w:color w:val="auto"/>
                <w:lang w:val="en-US"/>
              </w:rPr>
              <w:t>These challenges particularly affect disadvantaged pupils, including their attainment.</w:t>
            </w:r>
          </w:p>
          <w:p w14:paraId="2A7D54F7" w14:textId="0DCF140E" w:rsidR="009C67E3" w:rsidRDefault="00A6047C" w:rsidP="00A6047C">
            <w:pPr>
              <w:pStyle w:val="TableRow"/>
              <w:rPr>
                <w:sz w:val="22"/>
                <w:szCs w:val="22"/>
              </w:rPr>
            </w:pPr>
            <w:r w:rsidRPr="00A35EF3">
              <w:rPr>
                <w:rFonts w:cs="Arial"/>
                <w:color w:val="auto"/>
                <w:lang w:eastAsia="en-US"/>
              </w:rPr>
              <w:t xml:space="preserve">Teacher referrals for support remain high. </w:t>
            </w:r>
            <w:r w:rsidR="00A35EF3" w:rsidRPr="00A35EF3">
              <w:rPr>
                <w:rFonts w:cs="Arial"/>
                <w:color w:val="auto"/>
                <w:lang w:eastAsia="en-US"/>
              </w:rPr>
              <w:t xml:space="preserve">Disadvantage </w:t>
            </w:r>
            <w:r w:rsidRPr="00A35EF3">
              <w:rPr>
                <w:rFonts w:cs="Arial"/>
                <w:color w:val="auto"/>
                <w:lang w:eastAsia="en-US"/>
              </w:rPr>
              <w:t>pupils</w:t>
            </w:r>
            <w:r w:rsidR="00A35EF3" w:rsidRPr="00A35EF3">
              <w:rPr>
                <w:rFonts w:cs="Arial"/>
                <w:color w:val="auto"/>
                <w:lang w:eastAsia="en-US"/>
              </w:rPr>
              <w:t xml:space="preserve"> remain the most consistently represented demographic that are highlighted through our safeguarding and intervention tracking. The highest single category for disadvantaged students is SEMH, this category is consistent across all year groups with Anxiety being higher in exam year groups.</w:t>
            </w:r>
          </w:p>
        </w:tc>
      </w:tr>
      <w:tr w:rsidR="009C67E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9C67E3" w:rsidRDefault="009C67E3" w:rsidP="009C67E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2CB3" w14:textId="77777777" w:rsidR="009C67E3" w:rsidRDefault="00A35EF3" w:rsidP="009C67E3">
            <w:pPr>
              <w:pStyle w:val="TableRowCentered"/>
              <w:jc w:val="left"/>
              <w:rPr>
                <w:iCs/>
                <w:szCs w:val="22"/>
              </w:rPr>
            </w:pPr>
            <w:r w:rsidRPr="001A5759">
              <w:rPr>
                <w:iCs/>
                <w:szCs w:val="22"/>
              </w:rPr>
              <w:t>Disadvantaged students have a disproportional representation across our behaviour tracking systems. This is true of low-level incidents which escalate due to a lack of s</w:t>
            </w:r>
            <w:r w:rsidR="00ED5187" w:rsidRPr="001A5759">
              <w:rPr>
                <w:iCs/>
                <w:szCs w:val="22"/>
              </w:rPr>
              <w:t>elf-regulation</w:t>
            </w:r>
            <w:r w:rsidRPr="001A5759">
              <w:rPr>
                <w:iCs/>
                <w:szCs w:val="22"/>
              </w:rPr>
              <w:t xml:space="preserve">. Furthermore, there is wider </w:t>
            </w:r>
            <w:r w:rsidR="00ED5187" w:rsidRPr="001A5759">
              <w:rPr>
                <w:iCs/>
                <w:szCs w:val="22"/>
              </w:rPr>
              <w:t>impact on peers</w:t>
            </w:r>
            <w:r w:rsidRPr="001A5759">
              <w:rPr>
                <w:iCs/>
                <w:szCs w:val="22"/>
              </w:rPr>
              <w:t xml:space="preserve"> in terms of interrupted learning opportunities because of classroom removals or escalating incidents. </w:t>
            </w:r>
            <w:r w:rsidR="004532C5" w:rsidRPr="001A5759">
              <w:rPr>
                <w:iCs/>
                <w:szCs w:val="22"/>
              </w:rPr>
              <w:t xml:space="preserve">Though our internal data demonstrates fewer external suspensions and exclusions compared to national figures (include data) there is a still a disproportionate representation of disadvantaged students overall. </w:t>
            </w:r>
          </w:p>
          <w:tbl>
            <w:tblPr>
              <w:tblW w:w="5820" w:type="dxa"/>
              <w:tblLook w:val="04A0" w:firstRow="1" w:lastRow="0" w:firstColumn="1" w:lastColumn="0" w:noHBand="0" w:noVBand="1"/>
            </w:tblPr>
            <w:tblGrid>
              <w:gridCol w:w="2380"/>
              <w:gridCol w:w="960"/>
              <w:gridCol w:w="1080"/>
              <w:gridCol w:w="1400"/>
            </w:tblGrid>
            <w:tr w:rsidR="001A5759" w:rsidRPr="001A5759" w14:paraId="6C639831" w14:textId="77777777" w:rsidTr="001A5759">
              <w:trPr>
                <w:trHeight w:val="330"/>
              </w:trPr>
              <w:tc>
                <w:tcPr>
                  <w:tcW w:w="2380" w:type="dxa"/>
                  <w:tcBorders>
                    <w:top w:val="single" w:sz="4" w:space="0" w:color="auto"/>
                    <w:left w:val="single" w:sz="8" w:space="0" w:color="auto"/>
                    <w:bottom w:val="nil"/>
                    <w:right w:val="single" w:sz="4" w:space="0" w:color="auto"/>
                  </w:tcBorders>
                  <w:shd w:val="clear" w:color="auto" w:fill="auto"/>
                  <w:noWrap/>
                  <w:vAlign w:val="bottom"/>
                  <w:hideMark/>
                </w:tcPr>
                <w:p w14:paraId="567DCEA8" w14:textId="77777777" w:rsidR="001A5759" w:rsidRPr="001A5759" w:rsidRDefault="001A5759" w:rsidP="001A5759">
                  <w:pPr>
                    <w:suppressAutoHyphens w:val="0"/>
                    <w:autoSpaceDN/>
                    <w:spacing w:after="0" w:line="240" w:lineRule="auto"/>
                    <w:jc w:val="center"/>
                    <w:rPr>
                      <w:rFonts w:ascii="Calibri" w:hAnsi="Calibri" w:cs="Calibri"/>
                      <w:b/>
                      <w:bCs/>
                      <w:color w:val="000000"/>
                    </w:rPr>
                  </w:pPr>
                  <w:r w:rsidRPr="001A5759">
                    <w:rPr>
                      <w:rFonts w:ascii="Calibri" w:hAnsi="Calibri" w:cs="Calibri"/>
                      <w:b/>
                      <w:bCs/>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336DD887" w14:textId="77777777" w:rsidR="001A5759" w:rsidRPr="001A5759" w:rsidRDefault="001A5759" w:rsidP="001A5759">
                  <w:pPr>
                    <w:suppressAutoHyphens w:val="0"/>
                    <w:autoSpaceDN/>
                    <w:spacing w:after="0" w:line="240" w:lineRule="auto"/>
                    <w:jc w:val="center"/>
                    <w:rPr>
                      <w:rFonts w:ascii="Calibri" w:hAnsi="Calibri" w:cs="Calibri"/>
                      <w:b/>
                      <w:bCs/>
                      <w:color w:val="000000"/>
                    </w:rPr>
                  </w:pPr>
                  <w:r w:rsidRPr="001A5759">
                    <w:rPr>
                      <w:rFonts w:ascii="Calibri" w:hAnsi="Calibri" w:cs="Calibri"/>
                      <w:b/>
                      <w:bCs/>
                      <w:color w:val="000000"/>
                    </w:rPr>
                    <w:t>R1</w:t>
                  </w:r>
                </w:p>
              </w:tc>
              <w:tc>
                <w:tcPr>
                  <w:tcW w:w="1080" w:type="dxa"/>
                  <w:tcBorders>
                    <w:top w:val="single" w:sz="4" w:space="0" w:color="auto"/>
                    <w:left w:val="nil"/>
                    <w:bottom w:val="nil"/>
                    <w:right w:val="single" w:sz="4" w:space="0" w:color="auto"/>
                  </w:tcBorders>
                  <w:shd w:val="clear" w:color="auto" w:fill="auto"/>
                  <w:noWrap/>
                  <w:vAlign w:val="bottom"/>
                  <w:hideMark/>
                </w:tcPr>
                <w:p w14:paraId="18187030" w14:textId="77777777" w:rsidR="001A5759" w:rsidRPr="001A5759" w:rsidRDefault="001A5759" w:rsidP="001A5759">
                  <w:pPr>
                    <w:suppressAutoHyphens w:val="0"/>
                    <w:autoSpaceDN/>
                    <w:spacing w:after="0" w:line="240" w:lineRule="auto"/>
                    <w:jc w:val="center"/>
                    <w:rPr>
                      <w:rFonts w:ascii="Calibri" w:hAnsi="Calibri" w:cs="Calibri"/>
                      <w:b/>
                      <w:bCs/>
                      <w:color w:val="000000"/>
                    </w:rPr>
                  </w:pPr>
                  <w:r w:rsidRPr="001A5759">
                    <w:rPr>
                      <w:rFonts w:ascii="Calibri" w:hAnsi="Calibri" w:cs="Calibri"/>
                      <w:b/>
                      <w:bCs/>
                      <w:color w:val="000000"/>
                    </w:rPr>
                    <w:t>R3</w:t>
                  </w:r>
                </w:p>
              </w:tc>
              <w:tc>
                <w:tcPr>
                  <w:tcW w:w="1400" w:type="dxa"/>
                  <w:tcBorders>
                    <w:top w:val="single" w:sz="4" w:space="0" w:color="auto"/>
                    <w:left w:val="nil"/>
                    <w:bottom w:val="nil"/>
                    <w:right w:val="single" w:sz="8" w:space="0" w:color="auto"/>
                  </w:tcBorders>
                  <w:shd w:val="clear" w:color="auto" w:fill="auto"/>
                  <w:noWrap/>
                  <w:vAlign w:val="bottom"/>
                  <w:hideMark/>
                </w:tcPr>
                <w:p w14:paraId="7C949D4D" w14:textId="77777777" w:rsidR="001A5759" w:rsidRPr="001A5759" w:rsidRDefault="001A5759" w:rsidP="001A5759">
                  <w:pPr>
                    <w:suppressAutoHyphens w:val="0"/>
                    <w:autoSpaceDN/>
                    <w:spacing w:after="0" w:line="240" w:lineRule="auto"/>
                    <w:jc w:val="center"/>
                    <w:rPr>
                      <w:rFonts w:ascii="Calibri" w:hAnsi="Calibri" w:cs="Calibri"/>
                      <w:b/>
                      <w:bCs/>
                      <w:color w:val="000000"/>
                    </w:rPr>
                  </w:pPr>
                  <w:r w:rsidRPr="001A5759">
                    <w:rPr>
                      <w:rFonts w:ascii="Calibri" w:hAnsi="Calibri" w:cs="Calibri"/>
                      <w:b/>
                      <w:bCs/>
                      <w:color w:val="000000"/>
                    </w:rPr>
                    <w:t>Overall</w:t>
                  </w:r>
                </w:p>
              </w:tc>
            </w:tr>
            <w:tr w:rsidR="001A5759" w:rsidRPr="001A5759" w14:paraId="4E8D8314" w14:textId="77777777" w:rsidTr="001A5759">
              <w:trPr>
                <w:trHeight w:val="330"/>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D28E81" w14:textId="77777777" w:rsidR="001A5759" w:rsidRPr="001A5759" w:rsidRDefault="001A5759" w:rsidP="001A5759">
                  <w:pPr>
                    <w:suppressAutoHyphens w:val="0"/>
                    <w:autoSpaceDN/>
                    <w:spacing w:after="0" w:line="240" w:lineRule="auto"/>
                    <w:jc w:val="center"/>
                    <w:rPr>
                      <w:rFonts w:ascii="Calibri" w:hAnsi="Calibri" w:cs="Calibri"/>
                      <w:b/>
                      <w:bCs/>
                      <w:color w:val="000000"/>
                    </w:rPr>
                  </w:pPr>
                  <w:r w:rsidRPr="001A5759">
                    <w:rPr>
                      <w:rFonts w:ascii="Calibri" w:hAnsi="Calibri" w:cs="Calibri"/>
                      <w:b/>
                      <w:bCs/>
                      <w:color w:val="000000"/>
                    </w:rPr>
                    <w:t>Overall (Y7 to 11)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FB1CAB1"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1.74</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14:paraId="62B9F4B7"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0.39</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14:paraId="12EDF99C"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3.51</w:t>
                  </w:r>
                </w:p>
              </w:tc>
            </w:tr>
            <w:tr w:rsidR="001A5759" w:rsidRPr="001A5759" w14:paraId="7C94A9C2" w14:textId="77777777" w:rsidTr="001A5759">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5EA72F4"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PP</w:t>
                  </w:r>
                </w:p>
              </w:tc>
              <w:tc>
                <w:tcPr>
                  <w:tcW w:w="960" w:type="dxa"/>
                  <w:tcBorders>
                    <w:top w:val="nil"/>
                    <w:left w:val="nil"/>
                    <w:bottom w:val="single" w:sz="4" w:space="0" w:color="auto"/>
                    <w:right w:val="single" w:sz="4" w:space="0" w:color="auto"/>
                  </w:tcBorders>
                  <w:shd w:val="clear" w:color="auto" w:fill="auto"/>
                  <w:noWrap/>
                  <w:vAlign w:val="bottom"/>
                  <w:hideMark/>
                </w:tcPr>
                <w:p w14:paraId="2E48C891"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1.74</w:t>
                  </w:r>
                </w:p>
              </w:tc>
              <w:tc>
                <w:tcPr>
                  <w:tcW w:w="1080" w:type="dxa"/>
                  <w:tcBorders>
                    <w:top w:val="nil"/>
                    <w:left w:val="nil"/>
                    <w:bottom w:val="single" w:sz="4" w:space="0" w:color="auto"/>
                    <w:right w:val="single" w:sz="4" w:space="0" w:color="auto"/>
                  </w:tcBorders>
                  <w:shd w:val="clear" w:color="auto" w:fill="auto"/>
                  <w:noWrap/>
                  <w:vAlign w:val="bottom"/>
                  <w:hideMark/>
                </w:tcPr>
                <w:p w14:paraId="394338EB"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0.88</w:t>
                  </w:r>
                </w:p>
              </w:tc>
              <w:tc>
                <w:tcPr>
                  <w:tcW w:w="1400" w:type="dxa"/>
                  <w:tcBorders>
                    <w:top w:val="nil"/>
                    <w:left w:val="nil"/>
                    <w:bottom w:val="single" w:sz="4" w:space="0" w:color="auto"/>
                    <w:right w:val="single" w:sz="8" w:space="0" w:color="auto"/>
                  </w:tcBorders>
                  <w:shd w:val="clear" w:color="auto" w:fill="auto"/>
                  <w:noWrap/>
                  <w:vAlign w:val="bottom"/>
                  <w:hideMark/>
                </w:tcPr>
                <w:p w14:paraId="62EB6BD5"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6.52</w:t>
                  </w:r>
                </w:p>
              </w:tc>
            </w:tr>
            <w:tr w:rsidR="001A5759" w:rsidRPr="001A5759" w14:paraId="0D76DDD2" w14:textId="77777777" w:rsidTr="001A5759">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E418071" w14:textId="77777777" w:rsidR="001A5759" w:rsidRPr="001A5759" w:rsidRDefault="001A5759" w:rsidP="001A5759">
                  <w:pPr>
                    <w:suppressAutoHyphens w:val="0"/>
                    <w:autoSpaceDN/>
                    <w:spacing w:after="0" w:line="240" w:lineRule="auto"/>
                    <w:jc w:val="center"/>
                    <w:rPr>
                      <w:rFonts w:cs="Arial"/>
                      <w:color w:val="auto"/>
                      <w:sz w:val="20"/>
                      <w:szCs w:val="20"/>
                    </w:rPr>
                  </w:pPr>
                  <w:proofErr w:type="gramStart"/>
                  <w:r w:rsidRPr="001A5759">
                    <w:rPr>
                      <w:rFonts w:cs="Arial"/>
                      <w:color w:val="auto"/>
                      <w:sz w:val="20"/>
                      <w:szCs w:val="20"/>
                    </w:rPr>
                    <w:t>Non PP</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1E970C0"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1.48</w:t>
                  </w:r>
                </w:p>
              </w:tc>
              <w:tc>
                <w:tcPr>
                  <w:tcW w:w="1080" w:type="dxa"/>
                  <w:tcBorders>
                    <w:top w:val="nil"/>
                    <w:left w:val="nil"/>
                    <w:bottom w:val="single" w:sz="4" w:space="0" w:color="auto"/>
                    <w:right w:val="single" w:sz="4" w:space="0" w:color="auto"/>
                  </w:tcBorders>
                  <w:shd w:val="clear" w:color="auto" w:fill="auto"/>
                  <w:noWrap/>
                  <w:vAlign w:val="bottom"/>
                  <w:hideMark/>
                </w:tcPr>
                <w:p w14:paraId="53975FC6"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0.29</w:t>
                  </w:r>
                </w:p>
              </w:tc>
              <w:tc>
                <w:tcPr>
                  <w:tcW w:w="1400" w:type="dxa"/>
                  <w:tcBorders>
                    <w:top w:val="nil"/>
                    <w:left w:val="nil"/>
                    <w:bottom w:val="single" w:sz="4" w:space="0" w:color="auto"/>
                    <w:right w:val="single" w:sz="8" w:space="0" w:color="auto"/>
                  </w:tcBorders>
                  <w:shd w:val="clear" w:color="auto" w:fill="auto"/>
                  <w:noWrap/>
                  <w:vAlign w:val="bottom"/>
                  <w:hideMark/>
                </w:tcPr>
                <w:p w14:paraId="71420997"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2.86</w:t>
                  </w:r>
                </w:p>
              </w:tc>
            </w:tr>
            <w:tr w:rsidR="001A5759" w:rsidRPr="001A5759" w14:paraId="3D440C8D" w14:textId="77777777" w:rsidTr="001A5759">
              <w:trPr>
                <w:trHeight w:val="270"/>
              </w:trPr>
              <w:tc>
                <w:tcPr>
                  <w:tcW w:w="2380" w:type="dxa"/>
                  <w:tcBorders>
                    <w:top w:val="nil"/>
                    <w:left w:val="single" w:sz="8" w:space="0" w:color="auto"/>
                    <w:bottom w:val="single" w:sz="8" w:space="0" w:color="auto"/>
                    <w:right w:val="single" w:sz="4" w:space="0" w:color="auto"/>
                  </w:tcBorders>
                  <w:shd w:val="clear" w:color="auto" w:fill="auto"/>
                  <w:noWrap/>
                  <w:vAlign w:val="bottom"/>
                  <w:hideMark/>
                </w:tcPr>
                <w:p w14:paraId="24286D6D"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Gap</w:t>
                  </w:r>
                </w:p>
              </w:tc>
              <w:tc>
                <w:tcPr>
                  <w:tcW w:w="960" w:type="dxa"/>
                  <w:tcBorders>
                    <w:top w:val="single" w:sz="4" w:space="0" w:color="auto"/>
                    <w:left w:val="single" w:sz="4" w:space="0" w:color="auto"/>
                    <w:bottom w:val="single" w:sz="8" w:space="0" w:color="auto"/>
                    <w:right w:val="single" w:sz="4" w:space="0" w:color="auto"/>
                  </w:tcBorders>
                  <w:shd w:val="clear" w:color="000000" w:fill="FFCCCC"/>
                  <w:noWrap/>
                  <w:vAlign w:val="bottom"/>
                  <w:hideMark/>
                </w:tcPr>
                <w:p w14:paraId="3DFAA18D"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0.27</w:t>
                  </w:r>
                </w:p>
              </w:tc>
              <w:tc>
                <w:tcPr>
                  <w:tcW w:w="1080" w:type="dxa"/>
                  <w:tcBorders>
                    <w:top w:val="single" w:sz="4" w:space="0" w:color="auto"/>
                    <w:left w:val="single" w:sz="4" w:space="0" w:color="auto"/>
                    <w:bottom w:val="single" w:sz="8" w:space="0" w:color="auto"/>
                    <w:right w:val="single" w:sz="4" w:space="0" w:color="auto"/>
                  </w:tcBorders>
                  <w:shd w:val="clear" w:color="000000" w:fill="FFCCCC"/>
                  <w:noWrap/>
                  <w:vAlign w:val="bottom"/>
                  <w:hideMark/>
                </w:tcPr>
                <w:p w14:paraId="5314657B"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0.59</w:t>
                  </w:r>
                </w:p>
              </w:tc>
              <w:tc>
                <w:tcPr>
                  <w:tcW w:w="1400" w:type="dxa"/>
                  <w:tcBorders>
                    <w:top w:val="single" w:sz="4" w:space="0" w:color="auto"/>
                    <w:left w:val="single" w:sz="4" w:space="0" w:color="auto"/>
                    <w:bottom w:val="single" w:sz="8" w:space="0" w:color="auto"/>
                    <w:right w:val="single" w:sz="8" w:space="0" w:color="auto"/>
                  </w:tcBorders>
                  <w:shd w:val="clear" w:color="000000" w:fill="FFCCCC"/>
                  <w:noWrap/>
                  <w:vAlign w:val="bottom"/>
                  <w:hideMark/>
                </w:tcPr>
                <w:p w14:paraId="5085EF8E" w14:textId="77777777" w:rsidR="001A5759" w:rsidRPr="001A5759" w:rsidRDefault="001A5759" w:rsidP="001A5759">
                  <w:pPr>
                    <w:suppressAutoHyphens w:val="0"/>
                    <w:autoSpaceDN/>
                    <w:spacing w:after="0" w:line="240" w:lineRule="auto"/>
                    <w:jc w:val="center"/>
                    <w:rPr>
                      <w:rFonts w:cs="Arial"/>
                      <w:color w:val="auto"/>
                      <w:sz w:val="20"/>
                      <w:szCs w:val="20"/>
                    </w:rPr>
                  </w:pPr>
                  <w:r w:rsidRPr="001A5759">
                    <w:rPr>
                      <w:rFonts w:cs="Arial"/>
                      <w:color w:val="auto"/>
                      <w:sz w:val="20"/>
                      <w:szCs w:val="20"/>
                    </w:rPr>
                    <w:t>3.65</w:t>
                  </w:r>
                </w:p>
              </w:tc>
            </w:tr>
          </w:tbl>
          <w:p w14:paraId="2A7D54FA" w14:textId="0A6738FC" w:rsidR="001A5759" w:rsidRDefault="001A5759" w:rsidP="001A5759">
            <w:pPr>
              <w:pStyle w:val="TableRowCentered"/>
              <w:ind w:left="0"/>
              <w:jc w:val="left"/>
              <w:rPr>
                <w:iCs/>
                <w:sz w:val="22"/>
              </w:rPr>
            </w:pPr>
          </w:p>
        </w:tc>
      </w:tr>
      <w:tr w:rsidR="009C67E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9C67E3" w:rsidRDefault="009C67E3" w:rsidP="009C67E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4B7D362" w:rsidR="009C67E3" w:rsidRDefault="004532C5" w:rsidP="009C67E3">
            <w:pPr>
              <w:pStyle w:val="TableRowCentered"/>
              <w:jc w:val="left"/>
              <w:rPr>
                <w:iCs/>
                <w:sz w:val="22"/>
              </w:rPr>
            </w:pPr>
            <w:r w:rsidRPr="001A5759">
              <w:rPr>
                <w:iCs/>
                <w:szCs w:val="22"/>
              </w:rPr>
              <w:t>Interventions targeted and provided for higher attaining students serve to raise the attainment of all higher attaining students not just those who are disadvantaged.</w:t>
            </w:r>
            <w:r w:rsidR="001A5759">
              <w:rPr>
                <w:iCs/>
                <w:szCs w:val="22"/>
              </w:rPr>
              <w:t xml:space="preserve"> </w:t>
            </w:r>
          </w:p>
        </w:tc>
      </w:tr>
      <w:tr w:rsidR="001A5759" w14:paraId="5B43D48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0878" w14:textId="543CB3E1" w:rsidR="001A5759" w:rsidRDefault="001A5759" w:rsidP="009C67E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D4E2" w14:textId="75C27715" w:rsidR="001A5759" w:rsidRPr="001A5759" w:rsidRDefault="001A5759" w:rsidP="009C67E3">
            <w:pPr>
              <w:pStyle w:val="TableRowCentered"/>
              <w:jc w:val="left"/>
              <w:rPr>
                <w:iCs/>
                <w:szCs w:val="22"/>
              </w:rPr>
            </w:pPr>
            <w:r>
              <w:rPr>
                <w:iCs/>
                <w:szCs w:val="22"/>
              </w:rPr>
              <w:t xml:space="preserve">Lower aspirations of </w:t>
            </w:r>
            <w:r w:rsidR="00C31019">
              <w:rPr>
                <w:iCs/>
                <w:szCs w:val="22"/>
              </w:rPr>
              <w:t xml:space="preserve">disadvantaged </w:t>
            </w:r>
            <w:r w:rsidR="004A23CA">
              <w:rPr>
                <w:iCs/>
                <w:szCs w:val="22"/>
              </w:rPr>
              <w:t>students’</w:t>
            </w:r>
            <w:r w:rsidR="00C31019">
              <w:rPr>
                <w:iCs/>
                <w:szCs w:val="22"/>
              </w:rPr>
              <w:t xml:space="preserve"> impact in turn by lack of parental engagement and cultural capital.</w:t>
            </w:r>
          </w:p>
        </w:tc>
      </w:tr>
    </w:tbl>
    <w:p w14:paraId="2A7D54FF" w14:textId="77777777" w:rsidR="00E66558" w:rsidRDefault="009D71E8">
      <w:pPr>
        <w:pStyle w:val="Heading2"/>
        <w:spacing w:before="600"/>
      </w:pPr>
      <w:bookmarkStart w:id="16" w:name="_Toc443397160"/>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EC04170" w:rsidR="00E66558" w:rsidRDefault="009C67E3">
            <w:pPr>
              <w:pStyle w:val="TableRow"/>
            </w:pPr>
            <w:r w:rsidRPr="00A50F03">
              <w:rPr>
                <w:rFonts w:cs="Arial"/>
                <w:color w:val="auto"/>
              </w:rPr>
              <w:t xml:space="preserve">To achieve and sustain improved attendance for all pupils, </w:t>
            </w:r>
            <w:r>
              <w:rPr>
                <w:rFonts w:cs="Arial"/>
                <w:color w:val="auto"/>
              </w:rPr>
              <w:t>particularly</w:t>
            </w:r>
            <w:r w:rsidRPr="00A50F03">
              <w:rPr>
                <w:rFonts w:cs="Arial"/>
                <w:color w:val="auto"/>
              </w:rPr>
              <w:t xml:space="preserve"> </w:t>
            </w:r>
            <w:r>
              <w:rPr>
                <w:rFonts w:cs="Arial"/>
                <w:color w:val="auto"/>
              </w:rPr>
              <w:t>our</w:t>
            </w:r>
            <w:r w:rsidRPr="00A50F03">
              <w:rPr>
                <w:rFonts w:cs="Arial"/>
                <w:color w:val="auto"/>
              </w:rPr>
              <w:t xml:space="preserve"> disadvantaged </w:t>
            </w:r>
            <w:r>
              <w:rPr>
                <w:rFonts w:cs="Arial"/>
                <w:color w:val="auto"/>
              </w:rPr>
              <w:t>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D29F" w14:textId="501DDD96" w:rsidR="009C67E3" w:rsidRPr="00A50F03" w:rsidRDefault="009C67E3" w:rsidP="009C67E3">
            <w:pPr>
              <w:autoSpaceDN/>
              <w:spacing w:before="60" w:after="60" w:line="240" w:lineRule="auto"/>
              <w:ind w:left="29" w:right="57"/>
              <w:rPr>
                <w:rFonts w:cs="Arial"/>
                <w:color w:val="auto"/>
              </w:rPr>
            </w:pPr>
            <w:r w:rsidRPr="00A50F03">
              <w:rPr>
                <w:rFonts w:cs="Arial"/>
                <w:color w:val="auto"/>
              </w:rPr>
              <w:t xml:space="preserve">Sustained high attendance </w:t>
            </w:r>
            <w:r>
              <w:rPr>
                <w:rFonts w:cs="Arial"/>
                <w:color w:val="auto"/>
              </w:rPr>
              <w:t xml:space="preserve">by </w:t>
            </w:r>
            <w:r w:rsidR="00E44AA8">
              <w:rPr>
                <w:rFonts w:cs="Arial"/>
                <w:color w:val="auto"/>
              </w:rPr>
              <w:t>2026</w:t>
            </w:r>
            <w:r w:rsidRPr="00A50F03">
              <w:rPr>
                <w:rFonts w:cs="Arial"/>
                <w:color w:val="auto"/>
              </w:rPr>
              <w:t xml:space="preserve"> demonstrated </w:t>
            </w:r>
            <w:r>
              <w:rPr>
                <w:rFonts w:cs="Arial"/>
                <w:color w:val="auto"/>
              </w:rPr>
              <w:t>by</w:t>
            </w:r>
            <w:r w:rsidRPr="00A50F03">
              <w:rPr>
                <w:rFonts w:cs="Arial"/>
                <w:color w:val="auto"/>
              </w:rPr>
              <w:t>:</w:t>
            </w:r>
          </w:p>
          <w:p w14:paraId="1D49ED7D" w14:textId="57E9475B" w:rsidR="009C67E3" w:rsidRPr="00E27862" w:rsidRDefault="009C67E3" w:rsidP="009C67E3">
            <w:pPr>
              <w:pStyle w:val="ListParagraph"/>
              <w:numPr>
                <w:ilvl w:val="0"/>
                <w:numId w:val="16"/>
              </w:numPr>
              <w:autoSpaceDN/>
              <w:spacing w:before="60" w:after="60" w:line="240" w:lineRule="auto"/>
              <w:ind w:right="57"/>
              <w:rPr>
                <w:rFonts w:cs="Arial"/>
                <w:color w:val="auto"/>
              </w:rPr>
            </w:pPr>
            <w:r w:rsidRPr="00E27862">
              <w:rPr>
                <w:rFonts w:cs="Arial"/>
                <w:color w:val="auto"/>
              </w:rPr>
              <w:t xml:space="preserve">the overall </w:t>
            </w:r>
            <w:r>
              <w:rPr>
                <w:rFonts w:cs="Arial"/>
                <w:color w:val="auto"/>
              </w:rPr>
              <w:t>unauthorised</w:t>
            </w:r>
            <w:r w:rsidRPr="00E27862">
              <w:rPr>
                <w:rFonts w:cs="Arial"/>
                <w:color w:val="auto"/>
              </w:rPr>
              <w:t xml:space="preserve"> absence rate for all pupils being no more than </w:t>
            </w:r>
            <w:r w:rsidR="00E44AA8">
              <w:rPr>
                <w:rFonts w:cs="Arial"/>
                <w:color w:val="auto"/>
              </w:rPr>
              <w:t>4</w:t>
            </w:r>
            <w:r w:rsidR="00C31019">
              <w:rPr>
                <w:rFonts w:cs="Arial"/>
                <w:color w:val="auto"/>
              </w:rPr>
              <w:t>.5</w:t>
            </w:r>
            <w:r w:rsidRPr="00E27862">
              <w:rPr>
                <w:rFonts w:cs="Arial"/>
                <w:color w:val="auto"/>
              </w:rPr>
              <w:t xml:space="preserve">%, and the attendance gap between disadvantaged pupils and their non-disadvantaged peers being reduced by </w:t>
            </w:r>
            <w:r w:rsidR="00E44AA8">
              <w:rPr>
                <w:rFonts w:cs="Arial"/>
                <w:color w:val="auto"/>
              </w:rPr>
              <w:t>5</w:t>
            </w:r>
            <w:r w:rsidRPr="00E27862">
              <w:rPr>
                <w:rFonts w:cs="Arial"/>
                <w:color w:val="auto"/>
              </w:rPr>
              <w:t>%.</w:t>
            </w:r>
          </w:p>
          <w:p w14:paraId="2A7D5505" w14:textId="73B678FE" w:rsidR="00E66558" w:rsidRDefault="009C67E3" w:rsidP="00995D3D">
            <w:pPr>
              <w:pStyle w:val="TableRowCentered"/>
              <w:numPr>
                <w:ilvl w:val="0"/>
                <w:numId w:val="16"/>
              </w:numPr>
              <w:jc w:val="left"/>
              <w:rPr>
                <w:sz w:val="22"/>
                <w:szCs w:val="22"/>
              </w:rPr>
            </w:pPr>
            <w:r w:rsidRPr="00E27862">
              <w:rPr>
                <w:rFonts w:cs="Arial"/>
                <w:color w:val="auto"/>
              </w:rPr>
              <w:t xml:space="preserve">the percentage of all pupils who are persistently absent being below </w:t>
            </w:r>
            <w:r w:rsidR="00E44AA8">
              <w:rPr>
                <w:rFonts w:cs="Arial"/>
                <w:color w:val="auto"/>
              </w:rPr>
              <w:t>20</w:t>
            </w:r>
            <w:r w:rsidRPr="00E27862">
              <w:rPr>
                <w:rFonts w:cs="Arial"/>
                <w:color w:val="auto"/>
              </w:rPr>
              <w:t xml:space="preserve">% and the figure among disadvantaged pupils being no more than </w:t>
            </w:r>
            <w:r w:rsidR="00E44AA8">
              <w:rPr>
                <w:rFonts w:cs="Arial"/>
                <w:color w:val="auto"/>
              </w:rPr>
              <w:t>20</w:t>
            </w:r>
            <w:r w:rsidRPr="00E27862">
              <w:rPr>
                <w:rFonts w:cs="Arial"/>
                <w:color w:val="auto"/>
              </w:rPr>
              <w:t>% lower than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BC92C6" w:rsidR="00E66558" w:rsidRDefault="009C67E3">
            <w:pPr>
              <w:pStyle w:val="TableRow"/>
              <w:rPr>
                <w:sz w:val="22"/>
                <w:szCs w:val="22"/>
              </w:rPr>
            </w:pPr>
            <w:bookmarkStart w:id="17" w:name="_Hlk150764111"/>
            <w:r w:rsidRPr="00A50F03">
              <w:rPr>
                <w:iCs/>
                <w:color w:val="auto"/>
              </w:rPr>
              <w:t xml:space="preserve">Improved attainment among disadvantaged pupils across the curriculum at the end of KS4, </w:t>
            </w:r>
            <w:r>
              <w:rPr>
                <w:iCs/>
                <w:color w:val="auto"/>
              </w:rPr>
              <w:t xml:space="preserve">with a particular focus on ensuring pupils secure English </w:t>
            </w:r>
            <w:r w:rsidRPr="006F3946">
              <w:rPr>
                <w:i/>
                <w:color w:val="auto"/>
              </w:rPr>
              <w:t>and</w:t>
            </w:r>
            <w:r>
              <w:rPr>
                <w:iCs/>
                <w:color w:val="auto"/>
              </w:rPr>
              <w:t xml:space="preserve"> Maths</w:t>
            </w:r>
            <w:r w:rsidRPr="00A50F03">
              <w:rPr>
                <w:iCs/>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B5B8" w14:textId="0B0C38FD" w:rsidR="002743E7" w:rsidRPr="002743E7" w:rsidRDefault="002743E7" w:rsidP="009C67E3">
            <w:pPr>
              <w:autoSpaceDN/>
              <w:spacing w:before="60" w:after="60" w:line="240" w:lineRule="auto"/>
              <w:ind w:left="29" w:right="57"/>
              <w:rPr>
                <w:color w:val="auto"/>
              </w:rPr>
            </w:pPr>
            <w:r w:rsidRPr="002743E7">
              <w:rPr>
                <w:color w:val="auto"/>
              </w:rPr>
              <w:t>Narrow A8 gap between disadvantaged and non-disadvantaged students</w:t>
            </w:r>
            <w:r w:rsidR="00766BA7">
              <w:rPr>
                <w:color w:val="auto"/>
              </w:rPr>
              <w:t xml:space="preserve"> to below -0.5.</w:t>
            </w:r>
          </w:p>
          <w:p w14:paraId="147ADA58" w14:textId="201DCC59" w:rsidR="002743E7" w:rsidRPr="002743E7" w:rsidRDefault="002743E7" w:rsidP="009C67E3">
            <w:pPr>
              <w:autoSpaceDN/>
              <w:spacing w:before="60" w:after="60" w:line="240" w:lineRule="auto"/>
              <w:ind w:left="29" w:right="57"/>
              <w:rPr>
                <w:color w:val="auto"/>
              </w:rPr>
            </w:pPr>
            <w:r w:rsidRPr="002743E7">
              <w:rPr>
                <w:color w:val="auto"/>
              </w:rPr>
              <w:t xml:space="preserve">Progress 8 score for disadvantaged students to be better than 2019 </w:t>
            </w:r>
            <w:r w:rsidR="004A23CA" w:rsidRPr="002743E7">
              <w:rPr>
                <w:color w:val="auto"/>
              </w:rPr>
              <w:t>figures.</w:t>
            </w:r>
          </w:p>
          <w:p w14:paraId="586B2C2F" w14:textId="77777777" w:rsidR="002743E7" w:rsidRPr="002743E7" w:rsidRDefault="002743E7" w:rsidP="009C67E3">
            <w:pPr>
              <w:autoSpaceDN/>
              <w:spacing w:before="60" w:after="60" w:line="240" w:lineRule="auto"/>
              <w:ind w:left="29" w:right="57"/>
              <w:rPr>
                <w:color w:val="auto"/>
              </w:rPr>
            </w:pPr>
          </w:p>
          <w:p w14:paraId="780EFD75" w14:textId="77777777" w:rsidR="00E66558" w:rsidRPr="002743E7" w:rsidRDefault="002743E7" w:rsidP="002743E7">
            <w:pPr>
              <w:autoSpaceDN/>
              <w:spacing w:before="60" w:after="60" w:line="240" w:lineRule="auto"/>
              <w:ind w:left="29" w:right="57"/>
              <w:rPr>
                <w:color w:val="auto"/>
              </w:rPr>
            </w:pPr>
            <w:r w:rsidRPr="002743E7">
              <w:rPr>
                <w:color w:val="auto"/>
              </w:rPr>
              <w:t>Our overall targets for KS4 students include the improved performance of disadvantaged students, these overall targets are:</w:t>
            </w:r>
          </w:p>
          <w:p w14:paraId="56AB02C9" w14:textId="2B634C65" w:rsidR="002743E7" w:rsidRPr="002743E7" w:rsidRDefault="002743E7" w:rsidP="002743E7">
            <w:pPr>
              <w:pStyle w:val="ListParagraph"/>
              <w:numPr>
                <w:ilvl w:val="0"/>
                <w:numId w:val="20"/>
              </w:numPr>
              <w:autoSpaceDN/>
              <w:spacing w:before="60" w:after="60" w:line="240" w:lineRule="auto"/>
              <w:ind w:right="57"/>
              <w:rPr>
                <w:color w:val="auto"/>
              </w:rPr>
            </w:pPr>
            <w:r w:rsidRPr="002743E7">
              <w:rPr>
                <w:color w:val="auto"/>
              </w:rPr>
              <w:t>An overall Att</w:t>
            </w:r>
            <w:r w:rsidR="00C31019">
              <w:rPr>
                <w:color w:val="auto"/>
              </w:rPr>
              <w:t>8</w:t>
            </w:r>
            <w:r w:rsidRPr="002743E7">
              <w:rPr>
                <w:color w:val="auto"/>
              </w:rPr>
              <w:t xml:space="preserve"> figure of 50</w:t>
            </w:r>
          </w:p>
          <w:p w14:paraId="125F2530" w14:textId="7FE9440A" w:rsidR="002743E7" w:rsidRPr="002743E7" w:rsidRDefault="002743E7" w:rsidP="002743E7">
            <w:pPr>
              <w:pStyle w:val="ListParagraph"/>
              <w:numPr>
                <w:ilvl w:val="0"/>
                <w:numId w:val="20"/>
              </w:numPr>
              <w:autoSpaceDN/>
              <w:spacing w:before="60" w:after="60" w:line="240" w:lineRule="auto"/>
              <w:ind w:right="57"/>
              <w:rPr>
                <w:color w:val="auto"/>
              </w:rPr>
            </w:pPr>
            <w:r w:rsidRPr="002743E7">
              <w:rPr>
                <w:color w:val="auto"/>
              </w:rPr>
              <w:t>45% students achieving English and Maths 9-5</w:t>
            </w:r>
            <w:r w:rsidR="00766BA7">
              <w:rPr>
                <w:color w:val="auto"/>
              </w:rPr>
              <w:t xml:space="preserve"> – reduce PP gap to below 10%</w:t>
            </w:r>
          </w:p>
          <w:p w14:paraId="3B20A55F" w14:textId="25CF26A9" w:rsidR="002743E7" w:rsidRPr="002743E7" w:rsidRDefault="002743E7" w:rsidP="002743E7">
            <w:pPr>
              <w:pStyle w:val="ListParagraph"/>
              <w:numPr>
                <w:ilvl w:val="0"/>
                <w:numId w:val="20"/>
              </w:numPr>
              <w:autoSpaceDN/>
              <w:spacing w:before="60" w:after="60" w:line="240" w:lineRule="auto"/>
              <w:ind w:right="57"/>
              <w:rPr>
                <w:color w:val="auto"/>
              </w:rPr>
            </w:pPr>
            <w:r w:rsidRPr="002743E7">
              <w:rPr>
                <w:color w:val="auto"/>
              </w:rPr>
              <w:t>70% of students achieving English and Maths 9-4</w:t>
            </w:r>
            <w:r w:rsidR="00766BA7">
              <w:rPr>
                <w:color w:val="auto"/>
              </w:rPr>
              <w:t xml:space="preserve"> – reduce PP gap to below 10%</w:t>
            </w:r>
          </w:p>
          <w:p w14:paraId="2A7D5508" w14:textId="6688CEC5" w:rsidR="002743E7" w:rsidRPr="002743E7" w:rsidRDefault="002743E7" w:rsidP="002743E7">
            <w:pPr>
              <w:autoSpaceDN/>
              <w:spacing w:before="60" w:after="60" w:line="240" w:lineRule="auto"/>
              <w:ind w:left="29" w:right="57"/>
              <w:rPr>
                <w:color w:val="auto"/>
                <w:highlight w:val="yellow"/>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C2C7" w14:textId="77777777" w:rsidR="009C67E3" w:rsidRPr="00A50F03" w:rsidRDefault="009C67E3" w:rsidP="009C67E3">
            <w:pPr>
              <w:pStyle w:val="TableRow"/>
              <w:rPr>
                <w:iCs/>
                <w:color w:val="auto"/>
              </w:rPr>
            </w:pPr>
            <w:bookmarkStart w:id="18" w:name="_Hlk150841922"/>
            <w:bookmarkEnd w:id="17"/>
            <w:r w:rsidRPr="00A50F03">
              <w:rPr>
                <w:color w:val="auto"/>
              </w:rPr>
              <w:t>Improved reading comprehension among disadvantaged pupils across KS3</w:t>
            </w:r>
            <w:r>
              <w:rPr>
                <w:color w:val="auto"/>
              </w:rPr>
              <w:t>.</w:t>
            </w:r>
          </w:p>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B3C84B4" w:rsidR="00E66558" w:rsidRDefault="009C67E3">
            <w:pPr>
              <w:pStyle w:val="TableRowCentered"/>
              <w:jc w:val="left"/>
              <w:rPr>
                <w:sz w:val="22"/>
                <w:szCs w:val="22"/>
              </w:rPr>
            </w:pPr>
            <w:r w:rsidRPr="009D5A52">
              <w:rPr>
                <w:color w:val="auto"/>
              </w:rPr>
              <w:t xml:space="preserve">Reading comprehension tests demonstrate a </w:t>
            </w:r>
            <w:r w:rsidR="009D5A52" w:rsidRPr="009D5A52">
              <w:rPr>
                <w:color w:val="auto"/>
              </w:rPr>
              <w:t xml:space="preserve">positive </w:t>
            </w:r>
            <w:r w:rsidRPr="009D5A52">
              <w:rPr>
                <w:color w:val="auto"/>
              </w:rPr>
              <w:t>improvement</w:t>
            </w:r>
            <w:r w:rsidRPr="00A50F03">
              <w:rPr>
                <w:color w:val="auto"/>
              </w:rPr>
              <w:t xml:space="preserve"> </w:t>
            </w:r>
            <w:r>
              <w:rPr>
                <w:color w:val="auto"/>
              </w:rPr>
              <w:t xml:space="preserve">in </w:t>
            </w:r>
            <w:r w:rsidRPr="00A50F03">
              <w:rPr>
                <w:color w:val="auto"/>
              </w:rPr>
              <w:t xml:space="preserve">comprehension skills among disadvantaged pupils and a smaller disparity between the scores of disadvantaged pupils and their non-disadvantaged peers. </w:t>
            </w:r>
            <w:r w:rsidR="009D5A52">
              <w:rPr>
                <w:color w:val="auto"/>
              </w:rPr>
              <w:t xml:space="preserve">We identify all students who have a reading age that is 2 years lower than their chronological reading age. </w:t>
            </w:r>
            <w:r w:rsidRPr="00A50F03">
              <w:rPr>
                <w:color w:val="auto"/>
              </w:rPr>
              <w:t>Teachers should also have recognised this improvement through engagement in lessons and book scrutiny.</w:t>
            </w:r>
          </w:p>
        </w:tc>
      </w:tr>
      <w:bookmarkEnd w:id="18"/>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8DAAEA9" w:rsidR="00E66558" w:rsidRDefault="00995D3D">
            <w:pPr>
              <w:pStyle w:val="TableRow"/>
              <w:rPr>
                <w:sz w:val="22"/>
                <w:szCs w:val="22"/>
              </w:rPr>
            </w:pPr>
            <w:r w:rsidRPr="00A50F03">
              <w:rPr>
                <w:color w:val="auto"/>
              </w:rPr>
              <w:t>To achieve and sustain improved wellbeing for all pupils, including those who are disadvantaged</w:t>
            </w:r>
            <w:r>
              <w:rPr>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676C" w14:textId="77777777" w:rsidR="00995D3D" w:rsidRPr="00A50F03" w:rsidRDefault="00995D3D" w:rsidP="00995D3D">
            <w:pPr>
              <w:autoSpaceDN/>
              <w:spacing w:before="60" w:after="60" w:line="240" w:lineRule="auto"/>
              <w:ind w:left="28" w:right="57"/>
              <w:rPr>
                <w:rFonts w:cs="Arial"/>
                <w:color w:val="auto"/>
              </w:rPr>
            </w:pPr>
            <w:r w:rsidRPr="00A50F03">
              <w:rPr>
                <w:rFonts w:cs="Arial"/>
                <w:color w:val="auto"/>
              </w:rPr>
              <w:t xml:space="preserve">Sustained high levels of wellbeing </w:t>
            </w:r>
            <w:r>
              <w:rPr>
                <w:rFonts w:cs="Arial"/>
                <w:color w:val="auto"/>
              </w:rPr>
              <w:t xml:space="preserve">by </w:t>
            </w:r>
            <w:r w:rsidRPr="00A50F03">
              <w:rPr>
                <w:rFonts w:cs="Arial"/>
                <w:color w:val="auto"/>
              </w:rPr>
              <w:t xml:space="preserve">2024/25 demonstrated </w:t>
            </w:r>
            <w:r>
              <w:rPr>
                <w:rFonts w:cs="Arial"/>
                <w:color w:val="auto"/>
              </w:rPr>
              <w:t>by</w:t>
            </w:r>
            <w:r w:rsidRPr="00A50F03">
              <w:rPr>
                <w:rFonts w:cs="Arial"/>
                <w:color w:val="auto"/>
              </w:rPr>
              <w:t>:</w:t>
            </w:r>
          </w:p>
          <w:p w14:paraId="1A50A959" w14:textId="77777777" w:rsidR="006F3946" w:rsidRDefault="00995D3D" w:rsidP="006F3946">
            <w:pPr>
              <w:numPr>
                <w:ilvl w:val="0"/>
                <w:numId w:val="18"/>
              </w:numPr>
              <w:autoSpaceDN/>
              <w:spacing w:before="60" w:after="120" w:line="240" w:lineRule="auto"/>
              <w:ind w:right="57" w:hanging="357"/>
              <w:rPr>
                <w:rFonts w:cs="Arial"/>
                <w:color w:val="auto"/>
              </w:rPr>
            </w:pPr>
            <w:r w:rsidRPr="00A50F03">
              <w:rPr>
                <w:rFonts w:cs="Arial"/>
                <w:color w:val="auto"/>
              </w:rPr>
              <w:t>qualitative data from student voice, student and parent surveys and teacher observations.</w:t>
            </w:r>
          </w:p>
          <w:p w14:paraId="2A7D550E" w14:textId="6478127B" w:rsidR="00E66558" w:rsidRPr="006F3946" w:rsidRDefault="00E66558" w:rsidP="00C31019">
            <w:pPr>
              <w:autoSpaceDN/>
              <w:spacing w:before="60" w:after="120" w:line="240" w:lineRule="auto"/>
              <w:ind w:left="57" w:right="57"/>
              <w:rPr>
                <w:rFonts w:cs="Arial"/>
                <w:color w:val="auto"/>
              </w:rPr>
            </w:pPr>
          </w:p>
        </w:tc>
      </w:tr>
      <w:tr w:rsidR="00C31019" w14:paraId="2D5E1B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E1F43" w14:textId="4CE40E19" w:rsidR="00C31019" w:rsidRPr="00A50F03" w:rsidRDefault="00C31019">
            <w:pPr>
              <w:pStyle w:val="TableRow"/>
              <w:rPr>
                <w:color w:val="auto"/>
              </w:rPr>
            </w:pPr>
            <w:r>
              <w:rPr>
                <w:color w:val="auto"/>
              </w:rPr>
              <w:t>An ambitious and aspirational cultural capital and enrichment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27F36" w14:textId="2BA7E935" w:rsidR="00C31019" w:rsidRDefault="00C31019" w:rsidP="00C31019">
            <w:pPr>
              <w:autoSpaceDN/>
              <w:spacing w:before="60" w:after="60" w:line="240" w:lineRule="auto"/>
              <w:ind w:right="57"/>
              <w:rPr>
                <w:rFonts w:cs="Arial"/>
                <w:color w:val="auto"/>
              </w:rPr>
            </w:pPr>
            <w:r>
              <w:rPr>
                <w:rFonts w:cs="Arial"/>
                <w:color w:val="auto"/>
              </w:rPr>
              <w:t>A</w:t>
            </w:r>
            <w:r w:rsidRPr="006F3946">
              <w:rPr>
                <w:rFonts w:cs="Arial"/>
                <w:color w:val="auto"/>
              </w:rPr>
              <w:t xml:space="preserve"> significant increase in participation in enrichment activities, particularly among disadvantaged pupils. </w:t>
            </w:r>
            <w:r>
              <w:rPr>
                <w:rFonts w:cs="Arial"/>
                <w:color w:val="auto"/>
              </w:rPr>
              <w:t xml:space="preserve">Supported by a planned offer of enhanced careers interviewers, trips and visits, parental </w:t>
            </w:r>
            <w:proofErr w:type="gramStart"/>
            <w:r>
              <w:rPr>
                <w:rFonts w:cs="Arial"/>
                <w:color w:val="auto"/>
              </w:rPr>
              <w:t>engagement</w:t>
            </w:r>
            <w:proofErr w:type="gramEnd"/>
            <w:r w:rsidR="007B5034">
              <w:rPr>
                <w:rFonts w:cs="Arial"/>
                <w:color w:val="auto"/>
              </w:rPr>
              <w:t xml:space="preserve"> and </w:t>
            </w:r>
            <w:r>
              <w:rPr>
                <w:rFonts w:cs="Arial"/>
                <w:color w:val="auto"/>
              </w:rPr>
              <w:t>extracurricular activities</w:t>
            </w:r>
            <w:r w:rsidR="007B5034">
              <w:rPr>
                <w:rFonts w:cs="Arial"/>
                <w:color w:val="auto"/>
              </w:rPr>
              <w:t>.</w:t>
            </w:r>
            <w:r>
              <w:rPr>
                <w:rFonts w:cs="Arial"/>
                <w:color w:val="auto"/>
              </w:rPr>
              <w:t xml:space="preserve"> </w:t>
            </w:r>
          </w:p>
          <w:p w14:paraId="0BC2059D" w14:textId="768640B0" w:rsidR="00C31019" w:rsidRPr="00A50F03" w:rsidRDefault="00C31019" w:rsidP="00C31019">
            <w:pPr>
              <w:autoSpaceDN/>
              <w:spacing w:before="60" w:after="60" w:line="240" w:lineRule="auto"/>
              <w:ind w:right="57"/>
              <w:rPr>
                <w:rFonts w:cs="Arial"/>
                <w:color w:val="auto"/>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8AF4B96" w:rsidR="00E66558" w:rsidRDefault="009D71E8">
      <w:r>
        <w:t xml:space="preserve">Budgeted cost: £ </w:t>
      </w:r>
      <w:r w:rsidR="000C66BA">
        <w:rPr>
          <w:i/>
          <w:iCs/>
        </w:rPr>
        <w:t>189, 000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54D0296" w:rsidR="00E66558" w:rsidRDefault="00A6047C">
            <w:pPr>
              <w:pStyle w:val="TableRow"/>
            </w:pPr>
            <w:r>
              <w:t>Investigate and embed standardised diagnostic and information sharing system to ensure all staff are aware of profile of all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B443" w14:textId="77777777" w:rsidR="00A6047C" w:rsidRDefault="00A6047C" w:rsidP="00A6047C">
            <w:pPr>
              <w:pStyle w:val="TableRowCentered"/>
              <w:jc w:val="left"/>
              <w:rPr>
                <w:color w:val="auto"/>
                <w:szCs w:val="24"/>
              </w:rPr>
            </w:pPr>
            <w:r>
              <w:rPr>
                <w:color w:val="auto"/>
                <w:szCs w:val="24"/>
              </w:rPr>
              <w:t xml:space="preserve">When used effectively, diagnostic assessments </w:t>
            </w:r>
            <w:r w:rsidRPr="00A50F03">
              <w:rPr>
                <w:color w:val="auto"/>
                <w:szCs w:val="24"/>
              </w:rPr>
              <w:t xml:space="preserve">can </w:t>
            </w:r>
            <w:r>
              <w:rPr>
                <w:color w:val="auto"/>
                <w:szCs w:val="24"/>
              </w:rPr>
              <w:t>indicate areas for development for individual pupils, or across classes and year groups:</w:t>
            </w:r>
          </w:p>
          <w:bookmarkStart w:id="19" w:name="_Hlk148537844"/>
          <w:p w14:paraId="2A7D551B" w14:textId="302C11EF" w:rsidR="00E66558" w:rsidRDefault="00A6047C" w:rsidP="00A6047C">
            <w:pPr>
              <w:pStyle w:val="TableRowCentered"/>
              <w:jc w:val="left"/>
              <w:rPr>
                <w:sz w:val="22"/>
              </w:rPr>
            </w:pPr>
            <w:r w:rsidRPr="00D572FC">
              <w:rPr>
                <w:rStyle w:val="Hyperlink"/>
              </w:rPr>
              <w:fldChar w:fldCharType="begin"/>
            </w:r>
            <w:r w:rsidRPr="00D572FC">
              <w:rPr>
                <w:rStyle w:val="Hyperlink"/>
              </w:rPr>
              <w:instrText>HYPERLINK "https://d2tic4wvo1iusb.cloudfront.net/production/documents/news/Diagnostic_Assessment_Tool.pdf?v=1697619973"</w:instrText>
            </w:r>
            <w:r w:rsidRPr="00D572FC">
              <w:rPr>
                <w:rStyle w:val="Hyperlink"/>
              </w:rPr>
            </w:r>
            <w:r w:rsidRPr="00D572FC">
              <w:rPr>
                <w:rStyle w:val="Hyperlink"/>
              </w:rPr>
              <w:fldChar w:fldCharType="separate"/>
            </w:r>
            <w:r w:rsidRPr="00D572FC">
              <w:rPr>
                <w:rStyle w:val="Hyperlink"/>
              </w:rPr>
              <w:t>Diagnostic assessment | EEF</w:t>
            </w:r>
            <w:r w:rsidRPr="00D572FC">
              <w:rPr>
                <w:rStyle w:val="Hyperlink"/>
              </w:rPr>
              <w:fldChar w:fldCharType="end"/>
            </w:r>
            <w:bookmarkEnd w:id="19"/>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A684358" w:rsidR="00E66558" w:rsidRDefault="00ED5187">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35E87DF" w:rsidR="00E66558" w:rsidRPr="00A6047C" w:rsidRDefault="002E6A99">
            <w:pPr>
              <w:pStyle w:val="TableRow"/>
              <w:rPr>
                <w:iCs/>
                <w:sz w:val="22"/>
              </w:rPr>
            </w:pPr>
            <w:r>
              <w:t>Professional development on evidence-based approaches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CE3750E" w:rsidR="00E66558" w:rsidRDefault="002E6A99">
            <w:pPr>
              <w:pStyle w:val="TableRowCentered"/>
              <w:jc w:val="left"/>
              <w:rPr>
                <w:sz w:val="22"/>
              </w:rPr>
            </w:pPr>
            <w:r>
              <w:t xml:space="preserve">Supporting continuous and sustained professional development (PD) on evidence-based classroom approaches is important to develop the practice of teachers. The content of PD should be based on the best available evidence. Effective PD </w:t>
            </w:r>
            <w:proofErr w:type="gramStart"/>
            <w:r>
              <w:t>will  require</w:t>
            </w:r>
            <w:proofErr w:type="gramEnd"/>
            <w:r>
              <w:t xml:space="preserve"> a balanced approach that includes building knowledge, motivating teachers, developing teacher techniques, and embedding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21E88B3" w:rsidR="00E66558" w:rsidRDefault="00305A2A">
            <w:pPr>
              <w:pStyle w:val="TableRowCentered"/>
              <w:jc w:val="left"/>
              <w:rPr>
                <w:sz w:val="22"/>
              </w:rPr>
            </w:pPr>
            <w:r>
              <w:rPr>
                <w:sz w:val="22"/>
              </w:rPr>
              <w:t>2,3,4,5</w:t>
            </w:r>
          </w:p>
        </w:tc>
      </w:tr>
      <w:tr w:rsidR="002E6A99" w14:paraId="714033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79B9" w14:textId="5F7B7D24" w:rsidR="002E6A99" w:rsidRDefault="002E6A99">
            <w:pPr>
              <w:pStyle w:val="TableRow"/>
            </w:pPr>
            <w:r>
              <w:t>Mentoring and coaching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C5325" w14:textId="11ED51DC" w:rsidR="002E6A99" w:rsidRDefault="002E6A99">
            <w:pPr>
              <w:pStyle w:val="TableRowCentered"/>
              <w:jc w:val="left"/>
            </w:pPr>
            <w:r>
              <w:t xml:space="preserve">A common form of support for teacher professional development is mentoring and/or coaching, particularly for early career teachers. The EEF guidance on ‘Effective Professional Development’ is accompanied by a poster to help consider the ‘Effective Mechanisms of PD’ - i.e. what are the essential elements that make mentoring or coaching more likely to be effective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A157" w14:textId="5DDCA992" w:rsidR="002E6A99" w:rsidRDefault="00305A2A">
            <w:pPr>
              <w:pStyle w:val="TableRowCentered"/>
              <w:jc w:val="left"/>
              <w:rPr>
                <w:sz w:val="22"/>
              </w:rPr>
            </w:pPr>
            <w:r>
              <w:rPr>
                <w:sz w:val="22"/>
              </w:rPr>
              <w:t xml:space="preserve">All </w:t>
            </w:r>
          </w:p>
        </w:tc>
      </w:tr>
      <w:tr w:rsidR="002E6A99" w14:paraId="5459BB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6585" w14:textId="383464D4" w:rsidR="002E6A99" w:rsidRDefault="002E6A99">
            <w:pPr>
              <w:pStyle w:val="TableRow"/>
            </w:pPr>
            <w:r>
              <w:t>Recruitment and retention of specialist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7689" w14:textId="2D90C56D" w:rsidR="002E6A99" w:rsidRDefault="002E6A99">
            <w:pPr>
              <w:pStyle w:val="TableRowCentered"/>
              <w:jc w:val="left"/>
            </w:pPr>
            <w:r>
              <w:t>Recruitment of specialist staff to work with disadvantaged, SEND and SEMH 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29BB" w14:textId="486F89F2" w:rsidR="002E6A99" w:rsidRDefault="00305A2A">
            <w:pPr>
              <w:pStyle w:val="TableRowCentered"/>
              <w:jc w:val="left"/>
              <w:rPr>
                <w:sz w:val="22"/>
              </w:rPr>
            </w:pPr>
            <w:r>
              <w:rPr>
                <w:sz w:val="22"/>
              </w:rPr>
              <w:t>1,3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B6B4B01" w:rsidR="00E66558" w:rsidRDefault="009D71E8">
      <w:r>
        <w:t xml:space="preserve">Budgeted cost: £ </w:t>
      </w:r>
      <w:r w:rsidR="000C66BA">
        <w:rPr>
          <w:i/>
          <w:iCs/>
        </w:rPr>
        <w:t>101, 300</w:t>
      </w:r>
    </w:p>
    <w:tbl>
      <w:tblPr>
        <w:tblW w:w="5000" w:type="pct"/>
        <w:tblCellMar>
          <w:left w:w="10" w:type="dxa"/>
          <w:right w:w="10" w:type="dxa"/>
        </w:tblCellMar>
        <w:tblLook w:val="04A0" w:firstRow="1" w:lastRow="0" w:firstColumn="1" w:lastColumn="0" w:noHBand="0" w:noVBand="1"/>
      </w:tblPr>
      <w:tblGrid>
        <w:gridCol w:w="1975"/>
        <w:gridCol w:w="5890"/>
        <w:gridCol w:w="1621"/>
      </w:tblGrid>
      <w:tr w:rsidR="00E66558" w14:paraId="2A7D5528"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589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2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95D3D" w14:paraId="2A7D552C"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25E2867" w:rsidR="00995D3D" w:rsidRDefault="00995D3D" w:rsidP="00995D3D">
            <w:pPr>
              <w:pStyle w:val="TableRow"/>
            </w:pPr>
            <w:r w:rsidRPr="00E905E8">
              <w:rPr>
                <w:rFonts w:ascii="Tahoma" w:hAnsi="Tahoma" w:cs="Tahoma"/>
                <w:sz w:val="22"/>
                <w:szCs w:val="22"/>
              </w:rPr>
              <w:t>Thinking Reading</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E4A2" w14:textId="77777777" w:rsidR="00995D3D" w:rsidRPr="00E905E8" w:rsidRDefault="00995D3D" w:rsidP="00995D3D">
            <w:pPr>
              <w:rPr>
                <w:rFonts w:ascii="Tahoma" w:hAnsi="Tahoma" w:cs="Tahoma"/>
                <w:sz w:val="22"/>
                <w:szCs w:val="22"/>
              </w:rPr>
            </w:pPr>
            <w:r w:rsidRPr="00E905E8">
              <w:rPr>
                <w:rFonts w:ascii="Tahoma" w:hAnsi="Tahoma" w:cs="Tahoma"/>
                <w:sz w:val="22"/>
                <w:szCs w:val="22"/>
              </w:rPr>
              <w:t>Thinking Reading is phonics-</w:t>
            </w:r>
            <w:proofErr w:type="gramStart"/>
            <w:r w:rsidRPr="00E905E8">
              <w:rPr>
                <w:rFonts w:ascii="Tahoma" w:hAnsi="Tahoma" w:cs="Tahoma"/>
                <w:sz w:val="22"/>
                <w:szCs w:val="22"/>
              </w:rPr>
              <w:t>based, and</w:t>
            </w:r>
            <w:proofErr w:type="gramEnd"/>
            <w:r w:rsidRPr="00E905E8">
              <w:rPr>
                <w:rFonts w:ascii="Tahoma" w:hAnsi="Tahoma" w:cs="Tahoma"/>
                <w:sz w:val="22"/>
                <w:szCs w:val="22"/>
              </w:rPr>
              <w:t xml:space="preserve"> uses Direct Instruction and Precision Teaching methods to ensure rapid learning to fluency, leading to maintenance of gains. Each student’s programme includes reading, spelling, </w:t>
            </w:r>
            <w:proofErr w:type="gramStart"/>
            <w:r w:rsidRPr="00E905E8">
              <w:rPr>
                <w:rFonts w:ascii="Tahoma" w:hAnsi="Tahoma" w:cs="Tahoma"/>
                <w:sz w:val="22"/>
                <w:szCs w:val="22"/>
              </w:rPr>
              <w:t>comprehension</w:t>
            </w:r>
            <w:proofErr w:type="gramEnd"/>
            <w:r w:rsidRPr="00E905E8">
              <w:rPr>
                <w:rFonts w:ascii="Tahoma" w:hAnsi="Tahoma" w:cs="Tahoma"/>
                <w:sz w:val="22"/>
                <w:szCs w:val="22"/>
              </w:rPr>
              <w:t xml:space="preserve"> and extended writing. Students </w:t>
            </w:r>
            <w:proofErr w:type="gramStart"/>
            <w:r w:rsidRPr="00E905E8">
              <w:rPr>
                <w:rFonts w:ascii="Tahoma" w:hAnsi="Tahoma" w:cs="Tahoma"/>
                <w:sz w:val="22"/>
                <w:szCs w:val="22"/>
              </w:rPr>
              <w:t>continue on</w:t>
            </w:r>
            <w:proofErr w:type="gramEnd"/>
            <w:r w:rsidRPr="00E905E8">
              <w:rPr>
                <w:rFonts w:ascii="Tahoma" w:hAnsi="Tahoma" w:cs="Tahoma"/>
                <w:sz w:val="22"/>
                <w:szCs w:val="22"/>
              </w:rPr>
              <w:t xml:space="preserve"> the programme until their reading age matches their chronological age. This will ensure students can access the curriculum. </w:t>
            </w:r>
            <w:hyperlink r:id="rId12" w:history="1">
              <w:r w:rsidRPr="00E905E8">
                <w:rPr>
                  <w:rStyle w:val="Hyperlink"/>
                  <w:rFonts w:ascii="Tahoma" w:hAnsi="Tahoma" w:cs="Tahoma"/>
                  <w:sz w:val="22"/>
                  <w:szCs w:val="22"/>
                </w:rPr>
                <w:t>https://www.thinkingreading.com/</w:t>
              </w:r>
            </w:hyperlink>
          </w:p>
          <w:p w14:paraId="2B20DEBD" w14:textId="77777777" w:rsidR="00995D3D" w:rsidRPr="00E905E8" w:rsidRDefault="00995D3D" w:rsidP="00995D3D">
            <w:pPr>
              <w:rPr>
                <w:rStyle w:val="Hyperlink"/>
                <w:rFonts w:ascii="Tahoma" w:hAnsi="Tahoma" w:cs="Tahoma"/>
                <w:sz w:val="22"/>
                <w:szCs w:val="22"/>
              </w:rPr>
            </w:pPr>
            <w:r w:rsidRPr="00E905E8">
              <w:rPr>
                <w:rFonts w:ascii="Tahoma" w:hAnsi="Tahoma" w:cs="Tahoma"/>
                <w:sz w:val="22"/>
                <w:szCs w:val="22"/>
              </w:rPr>
              <w:t xml:space="preserve">According to </w:t>
            </w:r>
            <w:hyperlink r:id="rId13" w:history="1">
              <w:r w:rsidRPr="00E905E8">
                <w:rPr>
                  <w:rStyle w:val="Hyperlink"/>
                  <w:rFonts w:ascii="Tahoma" w:hAnsi="Tahoma" w:cs="Tahoma"/>
                  <w:sz w:val="22"/>
                  <w:szCs w:val="22"/>
                </w:rPr>
                <w:t>https://www.theschoolpsychologyservice.com/what-works/thinkingreading/</w:t>
              </w:r>
            </w:hyperlink>
            <w:r w:rsidRPr="00E905E8">
              <w:rPr>
                <w:rStyle w:val="Hyperlink"/>
                <w:rFonts w:ascii="Tahoma" w:hAnsi="Tahoma" w:cs="Tahoma"/>
                <w:sz w:val="22"/>
                <w:szCs w:val="22"/>
              </w:rPr>
              <w:t xml:space="preserve"> </w:t>
            </w:r>
          </w:p>
          <w:p w14:paraId="2A7D552A" w14:textId="270DC1DE" w:rsidR="00995D3D" w:rsidRDefault="00995D3D" w:rsidP="00995D3D">
            <w:pPr>
              <w:pStyle w:val="TableRowCentered"/>
              <w:jc w:val="left"/>
              <w:rPr>
                <w:sz w:val="22"/>
              </w:rPr>
            </w:pPr>
            <w:r w:rsidRPr="00E905E8">
              <w:rPr>
                <w:rStyle w:val="Hyperlink"/>
                <w:rFonts w:ascii="Tahoma" w:hAnsi="Tahoma" w:cs="Tahoma"/>
                <w:color w:val="auto"/>
                <w:sz w:val="22"/>
                <w:szCs w:val="22"/>
                <w:u w:val="none"/>
              </w:rPr>
              <w:t>“The results showed a remarkable gain in reading accuracy.”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9B9C436" w:rsidR="00995D3D" w:rsidRDefault="00ED5187" w:rsidP="00995D3D">
            <w:pPr>
              <w:pStyle w:val="TableRowCentered"/>
              <w:jc w:val="left"/>
              <w:rPr>
                <w:sz w:val="22"/>
              </w:rPr>
            </w:pPr>
            <w:r>
              <w:rPr>
                <w:sz w:val="22"/>
              </w:rPr>
              <w:t>2,3</w:t>
            </w:r>
          </w:p>
        </w:tc>
      </w:tr>
      <w:tr w:rsidR="00995D3D" w14:paraId="354BBFAE"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D046" w14:textId="4D8535C3" w:rsidR="00995D3D" w:rsidRDefault="00995D3D" w:rsidP="00995D3D">
            <w:pPr>
              <w:pStyle w:val="TableRow"/>
              <w:rPr>
                <w:i/>
                <w:sz w:val="22"/>
              </w:rPr>
            </w:pPr>
            <w:r w:rsidRPr="00E905E8">
              <w:rPr>
                <w:rFonts w:ascii="Tahoma" w:hAnsi="Tahoma" w:cs="Tahoma"/>
                <w:sz w:val="22"/>
                <w:szCs w:val="22"/>
              </w:rPr>
              <w:t>KS3 Numeracy Support</w:t>
            </w:r>
            <w:r w:rsidR="00C31019">
              <w:rPr>
                <w:rFonts w:ascii="Tahoma" w:hAnsi="Tahoma" w:cs="Tahoma"/>
                <w:sz w:val="22"/>
                <w:szCs w:val="22"/>
              </w:rPr>
              <w:t xml:space="preserve"> and KS4 Functional Skills </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AAE2" w14:textId="77777777" w:rsidR="00995D3D" w:rsidRPr="00E905E8" w:rsidRDefault="00995D3D" w:rsidP="00995D3D">
            <w:pPr>
              <w:rPr>
                <w:rFonts w:ascii="Tahoma" w:hAnsi="Tahoma" w:cs="Tahoma"/>
                <w:sz w:val="22"/>
                <w:szCs w:val="22"/>
              </w:rPr>
            </w:pPr>
            <w:r w:rsidRPr="00E905E8">
              <w:rPr>
                <w:rFonts w:ascii="Tahoma" w:hAnsi="Tahoma" w:cs="Tahoma"/>
                <w:sz w:val="22"/>
                <w:szCs w:val="22"/>
              </w:rPr>
              <w:t xml:space="preserve">Numeracy intervention teacher and learning tutors are delivering the </w:t>
            </w:r>
            <w:proofErr w:type="gramStart"/>
            <w:r w:rsidRPr="00E905E8">
              <w:rPr>
                <w:rFonts w:ascii="Tahoma" w:hAnsi="Tahoma" w:cs="Tahoma"/>
                <w:sz w:val="22"/>
                <w:szCs w:val="22"/>
              </w:rPr>
              <w:t>Catch up</w:t>
            </w:r>
            <w:proofErr w:type="gramEnd"/>
            <w:r w:rsidRPr="00E905E8">
              <w:rPr>
                <w:rFonts w:ascii="Tahoma" w:hAnsi="Tahoma" w:cs="Tahoma"/>
                <w:sz w:val="22"/>
                <w:szCs w:val="22"/>
              </w:rPr>
              <w:t xml:space="preserve"> Numeracy programme.  “Catch Up® Numeracy is a structured one-to-one intervention for learners who find numeracy difficult. It enables learners who struggle with numeracy to achieve more than double the progress of typically developing learners.”</w:t>
            </w:r>
          </w:p>
          <w:p w14:paraId="594960EA" w14:textId="77777777" w:rsidR="00995D3D" w:rsidRPr="00E905E8" w:rsidRDefault="00995D3D" w:rsidP="00995D3D">
            <w:pPr>
              <w:rPr>
                <w:rFonts w:ascii="Tahoma" w:hAnsi="Tahoma" w:cs="Tahoma"/>
                <w:sz w:val="22"/>
                <w:szCs w:val="22"/>
              </w:rPr>
            </w:pPr>
            <w:r w:rsidRPr="00E905E8">
              <w:rPr>
                <w:rFonts w:ascii="Tahoma" w:hAnsi="Tahoma" w:cs="Tahoma"/>
                <w:sz w:val="22"/>
                <w:szCs w:val="22"/>
              </w:rPr>
              <w:t xml:space="preserve">“Catch Up® Numeracy involves 15-minute individual sessions delivered twice a week. It is grounded in academic research and addresses 10 key components of numeracy” </w:t>
            </w:r>
            <w:hyperlink r:id="rId14" w:history="1">
              <w:r w:rsidRPr="00E905E8">
                <w:rPr>
                  <w:rStyle w:val="Hyperlink"/>
                  <w:rFonts w:ascii="Tahoma" w:hAnsi="Tahoma" w:cs="Tahoma"/>
                  <w:sz w:val="22"/>
                  <w:szCs w:val="22"/>
                </w:rPr>
                <w:t>Catch Up Numeracy - Catch Up</w:t>
              </w:r>
            </w:hyperlink>
          </w:p>
          <w:p w14:paraId="57B5F474" w14:textId="6F17CF6A" w:rsidR="00995D3D" w:rsidRDefault="00995D3D" w:rsidP="00995D3D">
            <w:pPr>
              <w:pStyle w:val="TableRowCentered"/>
              <w:jc w:val="left"/>
              <w:rPr>
                <w:sz w:val="22"/>
              </w:rPr>
            </w:pPr>
            <w:r w:rsidRPr="00E905E8">
              <w:rPr>
                <w:rFonts w:ascii="Tahoma" w:hAnsi="Tahoma" w:cs="Tahoma"/>
                <w:sz w:val="22"/>
                <w:szCs w:val="22"/>
              </w:rPr>
              <w:t xml:space="preserve">“Learners in Years 7 - 10 who received Catch Up® Numeracy support for an average period of 5 months achieved average Number/Maths Age gains of 15 months (a mean ratio </w:t>
            </w:r>
            <w:proofErr w:type="gramStart"/>
            <w:r w:rsidRPr="00E905E8">
              <w:rPr>
                <w:rFonts w:ascii="Tahoma" w:hAnsi="Tahoma" w:cs="Tahoma"/>
                <w:sz w:val="22"/>
                <w:szCs w:val="22"/>
              </w:rPr>
              <w:t>gain</w:t>
            </w:r>
            <w:proofErr w:type="gramEnd"/>
            <w:r w:rsidRPr="00E905E8">
              <w:rPr>
                <w:rFonts w:ascii="Tahoma" w:hAnsi="Tahoma" w:cs="Tahoma"/>
                <w:sz w:val="22"/>
                <w:szCs w:val="22"/>
              </w:rPr>
              <w:t xml:space="preserve"> of 3.0).” </w:t>
            </w:r>
            <w:hyperlink r:id="rId15" w:history="1">
              <w:r w:rsidRPr="00E905E8">
                <w:rPr>
                  <w:rStyle w:val="Hyperlink"/>
                  <w:rFonts w:ascii="Tahoma" w:hAnsi="Tahoma" w:cs="Tahoma"/>
                  <w:sz w:val="22"/>
                  <w:szCs w:val="22"/>
                </w:rPr>
                <w:t>Catch Up Numeracy - Catch Up</w:t>
              </w:r>
            </w:hyperlink>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FD0C" w14:textId="61345501" w:rsidR="00995D3D" w:rsidRDefault="00ED5187" w:rsidP="00995D3D">
            <w:pPr>
              <w:pStyle w:val="TableRowCentered"/>
              <w:jc w:val="left"/>
              <w:rPr>
                <w:sz w:val="22"/>
              </w:rPr>
            </w:pPr>
            <w:r>
              <w:rPr>
                <w:sz w:val="22"/>
              </w:rPr>
              <w:t>2</w:t>
            </w:r>
          </w:p>
        </w:tc>
      </w:tr>
      <w:tr w:rsidR="00995D3D" w14:paraId="7B30134E"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D045" w14:textId="739039A0" w:rsidR="00995D3D" w:rsidRPr="00E905E8" w:rsidRDefault="00995D3D" w:rsidP="00995D3D">
            <w:pPr>
              <w:pStyle w:val="TableRow"/>
              <w:rPr>
                <w:rFonts w:ascii="Tahoma" w:hAnsi="Tahoma" w:cs="Tahoma"/>
                <w:sz w:val="22"/>
                <w:szCs w:val="22"/>
              </w:rPr>
            </w:pPr>
            <w:r w:rsidRPr="00E905E8">
              <w:rPr>
                <w:rFonts w:ascii="Tahoma" w:hAnsi="Tahoma" w:cs="Tahoma"/>
                <w:sz w:val="22"/>
                <w:szCs w:val="22"/>
              </w:rPr>
              <w:t>Accelerated Reader</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0AE2" w14:textId="77777777" w:rsidR="000E1F35" w:rsidRPr="00E905E8" w:rsidRDefault="000E1F35" w:rsidP="000E1F35">
            <w:pPr>
              <w:rPr>
                <w:rFonts w:ascii="Tahoma" w:hAnsi="Tahoma" w:cs="Tahoma"/>
                <w:sz w:val="22"/>
                <w:szCs w:val="22"/>
              </w:rPr>
            </w:pPr>
            <w:r w:rsidRPr="00E905E8">
              <w:rPr>
                <w:rFonts w:ascii="Tahoma" w:hAnsi="Tahoma" w:cs="Tahoma"/>
                <w:sz w:val="22"/>
                <w:szCs w:val="22"/>
              </w:rPr>
              <w:t xml:space="preserve">The star tests in this programme identify students’ reading ages.  This informs the first level of identification for the Thinking Reading programme and enables the English Department to choose the right texts for students so that they are appropriate to reading age.  The quizzes measure student comprehension and frequency of reading. </w:t>
            </w:r>
          </w:p>
          <w:p w14:paraId="54173B12" w14:textId="77777777" w:rsidR="000E1F35" w:rsidRPr="00E905E8" w:rsidRDefault="000E1F35" w:rsidP="000E1F35">
            <w:pPr>
              <w:rPr>
                <w:rStyle w:val="Hyperlink"/>
                <w:rFonts w:ascii="Tahoma" w:hAnsi="Tahoma" w:cs="Tahoma"/>
                <w:sz w:val="22"/>
                <w:szCs w:val="22"/>
              </w:rPr>
            </w:pPr>
            <w:r w:rsidRPr="00E905E8">
              <w:rPr>
                <w:rFonts w:ascii="Tahoma" w:hAnsi="Tahoma" w:cs="Tahoma"/>
                <w:sz w:val="22"/>
                <w:szCs w:val="22"/>
              </w:rPr>
              <w:t xml:space="preserve">According to </w:t>
            </w:r>
            <w:hyperlink r:id="rId16" w:history="1">
              <w:r w:rsidRPr="00E905E8">
                <w:rPr>
                  <w:rStyle w:val="Hyperlink"/>
                  <w:rFonts w:ascii="Tahoma" w:hAnsi="Tahoma" w:cs="Tahoma"/>
                  <w:sz w:val="22"/>
                  <w:szCs w:val="22"/>
                </w:rPr>
                <w:t>https://educationendowmentfoundation.org.uk/projects-and-evaluation/projects/accelerated-reader/</w:t>
              </w:r>
            </w:hyperlink>
          </w:p>
          <w:p w14:paraId="6F5BC64C" w14:textId="1A41F982" w:rsidR="00995D3D" w:rsidRDefault="000E1F35" w:rsidP="000E1F35">
            <w:pPr>
              <w:pStyle w:val="TableRowCentered"/>
              <w:jc w:val="left"/>
              <w:rPr>
                <w:sz w:val="22"/>
              </w:rPr>
            </w:pPr>
            <w:r w:rsidRPr="00E905E8">
              <w:rPr>
                <w:rFonts w:ascii="Tahoma" w:hAnsi="Tahoma" w:cs="Tahoma"/>
                <w:sz w:val="22"/>
                <w:szCs w:val="22"/>
              </w:rPr>
              <w:t>“The study found that Year 7 pupils who were offered Accelerated Reader made 3 months’ additional progress in reading compared to other similar pupils. For pupils eligible for free school meals the figure was 5 months’ additional progress.”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34CA5" w14:textId="47DE062C" w:rsidR="00995D3D" w:rsidRDefault="00ED5187" w:rsidP="00995D3D">
            <w:pPr>
              <w:pStyle w:val="TableRowCentered"/>
              <w:jc w:val="left"/>
              <w:rPr>
                <w:sz w:val="22"/>
              </w:rPr>
            </w:pPr>
            <w:r>
              <w:rPr>
                <w:sz w:val="22"/>
              </w:rPr>
              <w:t>2,3</w:t>
            </w:r>
          </w:p>
        </w:tc>
      </w:tr>
      <w:tr w:rsidR="004D1FDC" w14:paraId="361E276F"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7FB0" w14:textId="064DD027" w:rsidR="004D1FDC" w:rsidRPr="00E905E8" w:rsidRDefault="004D1FDC" w:rsidP="004D1FDC">
            <w:pPr>
              <w:pStyle w:val="TableRow"/>
              <w:rPr>
                <w:rFonts w:ascii="Tahoma" w:hAnsi="Tahoma" w:cs="Tahoma"/>
                <w:sz w:val="22"/>
                <w:szCs w:val="22"/>
              </w:rPr>
            </w:pPr>
            <w:r w:rsidRPr="00A50F03">
              <w:rPr>
                <w:color w:val="auto"/>
              </w:rPr>
              <w:t xml:space="preserve">Engaging with the National Tutoring Programme </w:t>
            </w:r>
            <w:r w:rsidR="00A6047C">
              <w:rPr>
                <w:color w:val="auto"/>
              </w:rPr>
              <w:t xml:space="preserve">and/or other local offers </w:t>
            </w:r>
            <w:r w:rsidRPr="00A50F03">
              <w:rPr>
                <w:color w:val="auto"/>
              </w:rPr>
              <w:t>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C0574" w14:textId="77777777" w:rsidR="004D1FDC" w:rsidRPr="00A50F03" w:rsidRDefault="004D1FDC" w:rsidP="004D1FDC">
            <w:pPr>
              <w:autoSpaceDN/>
              <w:spacing w:before="60" w:after="60" w:line="240" w:lineRule="auto"/>
              <w:ind w:left="57" w:right="57"/>
              <w:rPr>
                <w:color w:val="auto"/>
              </w:rPr>
            </w:pPr>
            <w:r w:rsidRPr="00A50F03">
              <w:rPr>
                <w:color w:val="auto"/>
              </w:rPr>
              <w:t>Tuition targeted at specific needs and knowledge gaps can be an effective method to support low attaining pupils or those falling behind, both one-to-one:</w:t>
            </w:r>
          </w:p>
          <w:p w14:paraId="1CDA36F1" w14:textId="77777777" w:rsidR="004D1FDC" w:rsidRPr="00D572FC" w:rsidRDefault="00134C75" w:rsidP="004D1FDC">
            <w:pPr>
              <w:autoSpaceDN/>
              <w:spacing w:before="60" w:after="60" w:line="240" w:lineRule="auto"/>
              <w:ind w:left="57" w:right="57"/>
              <w:rPr>
                <w:rStyle w:val="Hyperlink"/>
              </w:rPr>
            </w:pPr>
            <w:hyperlink r:id="rId17" w:history="1">
              <w:r w:rsidR="004D1FDC" w:rsidRPr="00D572FC">
                <w:rPr>
                  <w:rStyle w:val="Hyperlink"/>
                </w:rPr>
                <w:t>One to one tuition | Teaching and Learning Toolkit | EEF</w:t>
              </w:r>
            </w:hyperlink>
          </w:p>
          <w:p w14:paraId="7A7A8281" w14:textId="77777777" w:rsidR="004D1FDC" w:rsidRPr="00A50F03" w:rsidRDefault="004D1FDC" w:rsidP="004D1FDC">
            <w:pPr>
              <w:autoSpaceDN/>
              <w:spacing w:before="60" w:after="60" w:line="240" w:lineRule="auto"/>
              <w:ind w:left="57" w:right="57"/>
              <w:rPr>
                <w:color w:val="auto"/>
              </w:rPr>
            </w:pPr>
            <w:r w:rsidRPr="00A50F03">
              <w:rPr>
                <w:color w:val="auto"/>
              </w:rPr>
              <w:t>And in small groups:</w:t>
            </w:r>
          </w:p>
          <w:p w14:paraId="440E2A94" w14:textId="77777777" w:rsidR="004D1FDC" w:rsidRDefault="00134C75" w:rsidP="004D1FDC">
            <w:pPr>
              <w:rPr>
                <w:rStyle w:val="Hyperlink"/>
              </w:rPr>
            </w:pPr>
            <w:hyperlink r:id="rId18" w:history="1">
              <w:r w:rsidR="004D1FDC" w:rsidRPr="00D572FC">
                <w:rPr>
                  <w:rStyle w:val="Hyperlink"/>
                </w:rPr>
                <w:t>Small group tuition | Teaching and Learning Toolkit | EEF</w:t>
              </w:r>
            </w:hyperlink>
          </w:p>
          <w:p w14:paraId="1A8FF1EE" w14:textId="77777777" w:rsidR="007B5034" w:rsidRDefault="007B5034" w:rsidP="00CD506B">
            <w:pPr>
              <w:rPr>
                <w:rFonts w:ascii="Tahoma" w:hAnsi="Tahoma" w:cs="Tahoma"/>
                <w:sz w:val="22"/>
                <w:szCs w:val="22"/>
              </w:rPr>
            </w:pPr>
          </w:p>
          <w:p w14:paraId="5F8B4C87" w14:textId="63AA6274" w:rsidR="00CD506B" w:rsidRPr="00E905E8" w:rsidRDefault="00CD506B" w:rsidP="00CD506B">
            <w:pPr>
              <w:rPr>
                <w:rFonts w:ascii="Tahoma" w:hAnsi="Tahoma" w:cs="Tahoma"/>
                <w:sz w:val="22"/>
                <w:szCs w:val="22"/>
              </w:rPr>
            </w:pPr>
            <w:r w:rsidRPr="00E905E8">
              <w:rPr>
                <w:rFonts w:ascii="Tahoma" w:hAnsi="Tahoma" w:cs="Tahoma"/>
                <w:sz w:val="22"/>
                <w:szCs w:val="22"/>
              </w:rPr>
              <w:t xml:space="preserve">“On average, one to one tuition is very effective at improving pupil outcomes. One to one tuition might be an effective strategy for providing targeted support for pupils that are identified as having low prior attainment or are struggling in particular areas.” </w:t>
            </w:r>
          </w:p>
          <w:p w14:paraId="792F66E4" w14:textId="7E03BFCA" w:rsidR="00CD506B" w:rsidRPr="00E905E8" w:rsidRDefault="00134C75" w:rsidP="00CD506B">
            <w:pPr>
              <w:rPr>
                <w:rFonts w:ascii="Tahoma" w:hAnsi="Tahoma" w:cs="Tahoma"/>
                <w:sz w:val="22"/>
                <w:szCs w:val="22"/>
              </w:rPr>
            </w:pPr>
            <w:hyperlink r:id="rId19" w:history="1">
              <w:r w:rsidR="00CD506B" w:rsidRPr="00E905E8">
                <w:rPr>
                  <w:rStyle w:val="Hyperlink"/>
                  <w:rFonts w:ascii="Tahoma" w:hAnsi="Tahoma" w:cs="Tahoma"/>
                  <w:sz w:val="22"/>
                  <w:szCs w:val="22"/>
                </w:rPr>
                <w:t>https://educationendowmentfoundation.org.uk/evidence-summaries/teaching-learning-toolkit/one-to-one-tuition/</w:t>
              </w:r>
            </w:hyperlink>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1E82" w14:textId="387962AD" w:rsidR="004D1FDC" w:rsidRDefault="00ED5187" w:rsidP="004D1FDC">
            <w:pPr>
              <w:pStyle w:val="TableRowCentered"/>
              <w:jc w:val="left"/>
              <w:rPr>
                <w:sz w:val="22"/>
              </w:rPr>
            </w:pPr>
            <w:r>
              <w:rPr>
                <w:sz w:val="22"/>
              </w:rPr>
              <w:t>2,3</w:t>
            </w:r>
          </w:p>
        </w:tc>
      </w:tr>
      <w:tr w:rsidR="008B4A34" w14:paraId="139A55BC"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3481" w14:textId="7B19B51A" w:rsidR="008B4A34" w:rsidRPr="00A50F03" w:rsidRDefault="008B4A34" w:rsidP="008B4A34">
            <w:pPr>
              <w:pStyle w:val="TableRow"/>
              <w:rPr>
                <w:color w:val="auto"/>
              </w:rPr>
            </w:pPr>
            <w:r>
              <w:rPr>
                <w:color w:val="auto"/>
              </w:rPr>
              <w:t>Future Writers</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01D9F" w14:textId="77777777" w:rsidR="008B4A34" w:rsidRPr="00E905E8" w:rsidRDefault="008B4A34" w:rsidP="008B4A34">
            <w:pPr>
              <w:rPr>
                <w:rFonts w:ascii="Tahoma" w:hAnsi="Tahoma" w:cs="Tahoma"/>
                <w:color w:val="auto"/>
                <w:sz w:val="22"/>
                <w:szCs w:val="22"/>
              </w:rPr>
            </w:pPr>
            <w:r w:rsidRPr="00E905E8">
              <w:rPr>
                <w:rFonts w:ascii="Tahoma" w:hAnsi="Tahoma" w:cs="Tahoma"/>
                <w:sz w:val="22"/>
                <w:szCs w:val="22"/>
              </w:rPr>
              <w:t xml:space="preserve">Students are identified in the second round of the Secondary Writers project.  Weakest 10% follow a direct instruction programme- “Expressive Writing” </w:t>
            </w:r>
            <w:r w:rsidRPr="00E905E8">
              <w:rPr>
                <w:rFonts w:ascii="Tahoma" w:hAnsi="Tahoma" w:cs="Tahoma"/>
                <w:color w:val="auto"/>
                <w:sz w:val="22"/>
                <w:szCs w:val="22"/>
              </w:rPr>
              <w:t>The research that has informed this programme is The Writing Revolution by Judith Hochman and Natalie Wexler and The Research Ed guide to Explicit and Direct /Instruction edited by Adam Boxer</w:t>
            </w:r>
          </w:p>
          <w:p w14:paraId="2BCD4AC2" w14:textId="77777777" w:rsidR="008B4A34" w:rsidRPr="00E905E8" w:rsidRDefault="008B4A34" w:rsidP="008B4A34">
            <w:pPr>
              <w:rPr>
                <w:rStyle w:val="Hyperlink"/>
                <w:rFonts w:ascii="Tahoma" w:hAnsi="Tahoma" w:cs="Tahoma"/>
                <w:sz w:val="22"/>
                <w:szCs w:val="22"/>
              </w:rPr>
            </w:pPr>
            <w:r w:rsidRPr="00E905E8">
              <w:rPr>
                <w:rFonts w:ascii="Tahoma" w:hAnsi="Tahoma" w:cs="Tahoma"/>
                <w:color w:val="auto"/>
                <w:sz w:val="22"/>
                <w:szCs w:val="22"/>
              </w:rPr>
              <w:t xml:space="preserve">This is being undertaken in small groups as </w:t>
            </w:r>
            <w:hyperlink r:id="rId20" w:history="1">
              <w:r w:rsidRPr="00E905E8">
                <w:rPr>
                  <w:rStyle w:val="Hyperlink"/>
                  <w:rFonts w:ascii="Tahoma" w:hAnsi="Tahoma" w:cs="Tahoma"/>
                  <w:sz w:val="22"/>
                  <w:szCs w:val="22"/>
                </w:rPr>
                <w:t>https://educationendowmentfoundation.org.uk/evidence-summaries/teaching-learning-toolkit/small-group-tuition/</w:t>
              </w:r>
            </w:hyperlink>
          </w:p>
          <w:p w14:paraId="46C611A7" w14:textId="7DB9C0D3" w:rsidR="008B4A34" w:rsidRPr="00A50F03" w:rsidRDefault="008B4A34" w:rsidP="008B4A34">
            <w:pPr>
              <w:autoSpaceDN/>
              <w:spacing w:before="60" w:after="60" w:line="240" w:lineRule="auto"/>
              <w:ind w:left="57" w:right="57"/>
              <w:rPr>
                <w:color w:val="auto"/>
              </w:rPr>
            </w:pPr>
            <w:r w:rsidRPr="00E905E8">
              <w:rPr>
                <w:rFonts w:ascii="Tahoma" w:hAnsi="Tahoma" w:cs="Tahoma"/>
                <w:sz w:val="22"/>
                <w:szCs w:val="22"/>
              </w:rPr>
              <w:t>“The average impact of the small group tuition is four additional months’ progress, on average, over the course of a year.”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16E0" w14:textId="1586A866" w:rsidR="008B4A34" w:rsidRDefault="00305A2A" w:rsidP="008B4A34">
            <w:pPr>
              <w:pStyle w:val="TableRowCentered"/>
              <w:jc w:val="left"/>
              <w:rPr>
                <w:sz w:val="22"/>
              </w:rPr>
            </w:pPr>
            <w:r>
              <w:rPr>
                <w:sz w:val="22"/>
              </w:rPr>
              <w:t>5</w:t>
            </w:r>
          </w:p>
        </w:tc>
      </w:tr>
      <w:tr w:rsidR="00C31019" w14:paraId="4EF9B8EC" w14:textId="77777777" w:rsidTr="004D1FD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5CD42" w14:textId="6F4E6ED6" w:rsidR="00C31019" w:rsidRDefault="00C31019" w:rsidP="008B4A34">
            <w:pPr>
              <w:pStyle w:val="TableRow"/>
              <w:rPr>
                <w:color w:val="auto"/>
              </w:rPr>
            </w:pPr>
            <w:r>
              <w:rPr>
                <w:color w:val="auto"/>
              </w:rPr>
              <w:t xml:space="preserve">Curriculum adaptation </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34CB" w14:textId="417C2294" w:rsidR="00C31019" w:rsidRPr="00E905E8" w:rsidRDefault="00C31019" w:rsidP="008B4A34">
            <w:pPr>
              <w:rPr>
                <w:rFonts w:ascii="Tahoma" w:hAnsi="Tahoma" w:cs="Tahoma"/>
                <w:sz w:val="22"/>
                <w:szCs w:val="22"/>
              </w:rPr>
            </w:pPr>
            <w:r>
              <w:rPr>
                <w:rFonts w:ascii="Tahoma" w:hAnsi="Tahoma" w:cs="Tahoma"/>
                <w:sz w:val="22"/>
                <w:szCs w:val="22"/>
              </w:rPr>
              <w:t xml:space="preserve">Redefining </w:t>
            </w:r>
            <w:proofErr w:type="gramStart"/>
            <w:r>
              <w:rPr>
                <w:rFonts w:ascii="Tahoma" w:hAnsi="Tahoma" w:cs="Tahoma"/>
                <w:sz w:val="22"/>
                <w:szCs w:val="22"/>
              </w:rPr>
              <w:t>core</w:t>
            </w:r>
            <w:proofErr w:type="gramEnd"/>
            <w:r>
              <w:rPr>
                <w:rFonts w:ascii="Tahoma" w:hAnsi="Tahoma" w:cs="Tahoma"/>
                <w:sz w:val="22"/>
                <w:szCs w:val="22"/>
              </w:rPr>
              <w:t xml:space="preserve"> offer to allow for </w:t>
            </w:r>
            <w:r w:rsidR="004A23CA">
              <w:rPr>
                <w:rFonts w:ascii="Tahoma" w:hAnsi="Tahoma" w:cs="Tahoma"/>
                <w:sz w:val="22"/>
                <w:szCs w:val="22"/>
              </w:rPr>
              <w:t>differentiated starting points and complex need of students, including those who are disadvantaged. Development of nurture pathway, adapted provision and alternative KS4 curriculum offer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2518" w14:textId="33C76213" w:rsidR="00C31019" w:rsidRDefault="004A23CA" w:rsidP="008B4A34">
            <w:pPr>
              <w:pStyle w:val="TableRowCentered"/>
              <w:jc w:val="left"/>
              <w:rPr>
                <w:sz w:val="22"/>
              </w:rPr>
            </w:pPr>
            <w:r>
              <w:rPr>
                <w:sz w:val="22"/>
              </w:rPr>
              <w:t>All</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DD36F13" w:rsidR="00E66558" w:rsidRDefault="009D71E8">
      <w:pPr>
        <w:spacing w:before="240" w:after="120"/>
      </w:pPr>
      <w:r>
        <w:t xml:space="preserve">Budgeted cost: £ </w:t>
      </w:r>
      <w:r w:rsidR="000C66BA">
        <w:rPr>
          <w:i/>
          <w:iCs/>
        </w:rPr>
        <w:t>27, 000</w:t>
      </w:r>
    </w:p>
    <w:tbl>
      <w:tblPr>
        <w:tblW w:w="5000" w:type="pct"/>
        <w:tblCellMar>
          <w:left w:w="10" w:type="dxa"/>
          <w:right w:w="10" w:type="dxa"/>
        </w:tblCellMar>
        <w:tblLook w:val="04A0" w:firstRow="1" w:lastRow="0" w:firstColumn="1" w:lastColumn="0" w:noHBand="0" w:noVBand="1"/>
      </w:tblPr>
      <w:tblGrid>
        <w:gridCol w:w="2412"/>
        <w:gridCol w:w="4015"/>
        <w:gridCol w:w="3059"/>
      </w:tblGrid>
      <w:tr w:rsidR="00E66558" w14:paraId="2A7D5537"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53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D4384" w14:textId="77777777" w:rsidR="004D1FDC" w:rsidRPr="00E27862" w:rsidRDefault="004D1FDC" w:rsidP="004D1FDC">
            <w:pPr>
              <w:pStyle w:val="TableRow"/>
              <w:spacing w:after="120"/>
              <w:ind w:left="29"/>
              <w:rPr>
                <w:iCs/>
                <w:color w:val="auto"/>
                <w:szCs w:val="28"/>
                <w:lang w:val="en-US"/>
              </w:rPr>
            </w:pPr>
            <w:r w:rsidRPr="00E27862">
              <w:rPr>
                <w:iCs/>
                <w:color w:val="auto"/>
                <w:szCs w:val="28"/>
                <w:lang w:val="en-US"/>
              </w:rPr>
              <w:t xml:space="preserve">Embedding good practice set out in DfE’s </w:t>
            </w:r>
            <w:r>
              <w:rPr>
                <w:iCs/>
                <w:color w:val="auto"/>
                <w:szCs w:val="28"/>
                <w:lang w:val="en-US"/>
              </w:rPr>
              <w:t xml:space="preserve">guidance on </w:t>
            </w:r>
            <w:hyperlink r:id="rId21" w:history="1">
              <w:r w:rsidRPr="0068069F">
                <w:rPr>
                  <w:rStyle w:val="Hyperlink"/>
                  <w:iCs/>
                  <w:szCs w:val="28"/>
                  <w:lang w:val="en-US"/>
                </w:rPr>
                <w:t>working together to improve school attendance</w:t>
              </w:r>
            </w:hyperlink>
            <w:r w:rsidRPr="00010E5E">
              <w:rPr>
                <w:iCs/>
                <w:color w:val="auto"/>
                <w:szCs w:val="28"/>
                <w:lang w:val="en-US"/>
              </w:rPr>
              <w:t>.</w:t>
            </w:r>
          </w:p>
          <w:p w14:paraId="465D63ED" w14:textId="77777777" w:rsidR="00A6047C" w:rsidRDefault="004D1FDC" w:rsidP="004D1FDC">
            <w:pPr>
              <w:pStyle w:val="TableRow"/>
              <w:rPr>
                <w:iCs/>
                <w:color w:val="auto"/>
                <w:szCs w:val="28"/>
                <w:lang w:val="en-US"/>
              </w:rPr>
            </w:pPr>
            <w:r>
              <w:rPr>
                <w:iCs/>
                <w:color w:val="auto"/>
                <w:szCs w:val="28"/>
                <w:lang w:val="en-US"/>
              </w:rPr>
              <w:t xml:space="preserve">Staff </w:t>
            </w:r>
            <w:r w:rsidRPr="00E27862">
              <w:rPr>
                <w:iCs/>
                <w:color w:val="auto"/>
                <w:szCs w:val="28"/>
                <w:lang w:val="en-US"/>
              </w:rPr>
              <w:t>training and release time to develop and implement procedure</w:t>
            </w:r>
            <w:r>
              <w:rPr>
                <w:iCs/>
                <w:color w:val="auto"/>
                <w:szCs w:val="28"/>
                <w:lang w:val="en-US"/>
              </w:rPr>
              <w:t xml:space="preserve">s. </w:t>
            </w:r>
          </w:p>
          <w:p w14:paraId="3667DEF7" w14:textId="77777777" w:rsidR="00A6047C" w:rsidRDefault="00A6047C" w:rsidP="004D1FDC">
            <w:pPr>
              <w:pStyle w:val="TableRow"/>
              <w:rPr>
                <w:iCs/>
                <w:color w:val="auto"/>
                <w:szCs w:val="28"/>
                <w:lang w:val="en-US"/>
              </w:rPr>
            </w:pPr>
          </w:p>
          <w:p w14:paraId="2A7D5538" w14:textId="07CF4A73" w:rsidR="00E66558" w:rsidRDefault="004D1FDC" w:rsidP="004D1FDC">
            <w:pPr>
              <w:pStyle w:val="TableRow"/>
            </w:pPr>
            <w:r>
              <w:rPr>
                <w:iCs/>
                <w:color w:val="auto"/>
                <w:szCs w:val="28"/>
                <w:lang w:val="en-US"/>
              </w:rPr>
              <w:t>A</w:t>
            </w:r>
            <w:r w:rsidRPr="00E27862">
              <w:rPr>
                <w:iCs/>
                <w:color w:val="auto"/>
                <w:szCs w:val="28"/>
                <w:lang w:val="en-US"/>
              </w:rPr>
              <w:t>ttendance/support officers</w:t>
            </w:r>
            <w:r>
              <w:rPr>
                <w:iCs/>
                <w:color w:val="auto"/>
                <w:szCs w:val="28"/>
                <w:lang w:val="en-US"/>
              </w:rPr>
              <w:t xml:space="preserve"> will be appointed to improve attendance.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6F6F" w14:textId="77777777" w:rsidR="00E66558" w:rsidRDefault="004D1FDC">
            <w:pPr>
              <w:pStyle w:val="TableRowCentered"/>
              <w:jc w:val="left"/>
              <w:rPr>
                <w:color w:val="auto"/>
              </w:rPr>
            </w:pPr>
            <w:r w:rsidRPr="00A50F03">
              <w:rPr>
                <w:color w:val="auto"/>
              </w:rPr>
              <w:t>The DfE guidance has been informed by engagement with schools that have significantly reduced persistent absence levels.</w:t>
            </w:r>
          </w:p>
          <w:p w14:paraId="0B089272" w14:textId="77777777" w:rsidR="004A23CA" w:rsidRDefault="004A23CA">
            <w:pPr>
              <w:pStyle w:val="TableRowCentered"/>
              <w:jc w:val="left"/>
            </w:pPr>
          </w:p>
          <w:p w14:paraId="31618DD3" w14:textId="25B5DC1C" w:rsidR="004A23CA" w:rsidRDefault="004A23CA">
            <w:pPr>
              <w:pStyle w:val="TableRowCentered"/>
              <w:jc w:val="left"/>
            </w:pPr>
            <w:r>
              <w:t>Family focused roles to increase engagement, informed by “Let’s talk…we miss you” Essex County Council best practice guide.</w:t>
            </w:r>
          </w:p>
          <w:p w14:paraId="2A7D5539" w14:textId="30D991A9" w:rsidR="004A23CA" w:rsidRDefault="004A23CA">
            <w:pPr>
              <w:pStyle w:val="TableRowCentered"/>
              <w:jc w:val="left"/>
              <w:rPr>
                <w:sz w:val="22"/>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C3E23A5" w:rsidR="00E66558" w:rsidRDefault="00ED5187">
            <w:pPr>
              <w:pStyle w:val="TableRowCentered"/>
              <w:jc w:val="left"/>
              <w:rPr>
                <w:sz w:val="22"/>
              </w:rPr>
            </w:pPr>
            <w:r>
              <w:rPr>
                <w:sz w:val="22"/>
              </w:rPr>
              <w:t>123</w:t>
            </w:r>
          </w:p>
        </w:tc>
      </w:tr>
      <w:tr w:rsidR="00E66558" w14:paraId="2A7D553F"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D9F617D" w:rsidR="00E66558" w:rsidRPr="00A6047C" w:rsidRDefault="004D1FDC">
            <w:pPr>
              <w:pStyle w:val="TableRow"/>
              <w:rPr>
                <w:iCs/>
                <w:sz w:val="22"/>
              </w:rPr>
            </w:pPr>
            <w:r w:rsidRPr="00C31019">
              <w:rPr>
                <w:iCs/>
                <w:szCs w:val="28"/>
              </w:rPr>
              <w:t>Contingency fund for acute issues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5775025" w:rsidR="00E66558" w:rsidRDefault="004D1FDC">
            <w:pPr>
              <w:pStyle w:val="TableRowCentered"/>
              <w:jc w:val="left"/>
              <w:rPr>
                <w:sz w:val="22"/>
              </w:rPr>
            </w:pPr>
            <w:r w:rsidRPr="00A50F03">
              <w:rPr>
                <w:color w:val="auto"/>
                <w:szCs w:val="22"/>
              </w:rPr>
              <w:t>Based on our experiences and those of similar schools to ours, we have identified a need to set a small amount of funding aside to respond quickly to needs that have not yet been identified.</w:t>
            </w:r>
            <w:r w:rsidR="00A6047C">
              <w:rPr>
                <w:color w:val="auto"/>
                <w:szCs w:val="22"/>
              </w:rPr>
              <w:t xml:space="preserve"> This is particularly important to overcome barriers to attendance.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C3BD5D2" w:rsidR="00E66558" w:rsidRDefault="00ED5187">
            <w:pPr>
              <w:pStyle w:val="TableRowCentered"/>
              <w:jc w:val="left"/>
              <w:rPr>
                <w:sz w:val="22"/>
              </w:rPr>
            </w:pPr>
            <w:r>
              <w:rPr>
                <w:sz w:val="22"/>
              </w:rPr>
              <w:t>123</w:t>
            </w:r>
          </w:p>
        </w:tc>
      </w:tr>
      <w:tr w:rsidR="004D1FDC" w14:paraId="000420B3"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8E06" w14:textId="194EC397" w:rsidR="004D1FDC" w:rsidRPr="00C31019" w:rsidRDefault="004D1FDC">
            <w:pPr>
              <w:pStyle w:val="TableRow"/>
              <w:rPr>
                <w:iCs/>
                <w:sz w:val="22"/>
              </w:rPr>
            </w:pPr>
            <w:r w:rsidRPr="00C31019">
              <w:rPr>
                <w:iCs/>
                <w:szCs w:val="28"/>
              </w:rPr>
              <w:t xml:space="preserve">Invest in and embed </w:t>
            </w:r>
            <w:proofErr w:type="spellStart"/>
            <w:r w:rsidR="002E6A99" w:rsidRPr="00C31019">
              <w:rPr>
                <w:iCs/>
                <w:szCs w:val="28"/>
              </w:rPr>
              <w:t>Govox</w:t>
            </w:r>
            <w:proofErr w:type="spellEnd"/>
            <w:r w:rsidR="002E6A99" w:rsidRPr="00C31019">
              <w:rPr>
                <w:iCs/>
                <w:szCs w:val="28"/>
              </w:rPr>
              <w:t xml:space="preserve"> survey</w:t>
            </w:r>
            <w:r w:rsidRPr="00C31019">
              <w:rPr>
                <w:iCs/>
                <w:szCs w:val="28"/>
              </w:rPr>
              <w:t xml:space="preserve"> to provide proactive overview of wellbeing concerns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326C2" w14:textId="77777777" w:rsidR="004D1FDC" w:rsidRDefault="004D1FDC">
            <w:pPr>
              <w:pStyle w:val="TableRowCentered"/>
              <w:jc w:val="left"/>
              <w:rPr>
                <w:color w:val="auto"/>
                <w:szCs w:val="22"/>
              </w:rPr>
            </w:pPr>
            <w:r>
              <w:rPr>
                <w:color w:val="auto"/>
                <w:szCs w:val="22"/>
              </w:rPr>
              <w:t>Provide systematic and ongoing diagnosis which can be used proactively support wellbeing issues before they impact on attendance and attainment</w:t>
            </w:r>
            <w:r w:rsidR="002E6A99">
              <w:rPr>
                <w:color w:val="auto"/>
                <w:szCs w:val="22"/>
              </w:rPr>
              <w:t>.</w:t>
            </w:r>
          </w:p>
          <w:p w14:paraId="2CEF03AA" w14:textId="77777777" w:rsidR="002E6A99" w:rsidRDefault="002E6A99">
            <w:pPr>
              <w:pStyle w:val="TableRowCentered"/>
              <w:jc w:val="left"/>
              <w:rPr>
                <w:color w:val="auto"/>
                <w:szCs w:val="22"/>
              </w:rPr>
            </w:pPr>
          </w:p>
          <w:p w14:paraId="7C976B4C" w14:textId="39A69200" w:rsidR="002E6A99" w:rsidRPr="00A50F03" w:rsidRDefault="002E6A99">
            <w:pPr>
              <w:pStyle w:val="TableRowCentered"/>
              <w:jc w:val="left"/>
              <w:rPr>
                <w:color w:val="auto"/>
                <w:szCs w:val="22"/>
              </w:rPr>
            </w:pPr>
            <w:r>
              <w:rPr>
                <w:color w:val="auto"/>
                <w:szCs w:val="22"/>
              </w:rPr>
              <w:t xml:space="preserve">The EEF suggests that </w:t>
            </w:r>
            <w:r>
              <w:t xml:space="preserve">Social and emotional skills support effective learning and are linked to positive outcomes later in life. Schools may consider </w:t>
            </w:r>
            <w:proofErr w:type="gramStart"/>
            <w:r>
              <w:t>whole-class</w:t>
            </w:r>
            <w:proofErr w:type="gramEnd"/>
            <w:r>
              <w:t xml:space="preserve"> approaches as well as targeted interventions, monitoring the impact of these choices carefully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2AD5" w14:textId="1E86CB68" w:rsidR="004D1FDC" w:rsidRDefault="00ED5187">
            <w:pPr>
              <w:pStyle w:val="TableRowCentered"/>
              <w:jc w:val="left"/>
              <w:rPr>
                <w:sz w:val="22"/>
              </w:rPr>
            </w:pPr>
            <w:r>
              <w:rPr>
                <w:sz w:val="22"/>
              </w:rPr>
              <w:t>3</w:t>
            </w:r>
          </w:p>
        </w:tc>
      </w:tr>
      <w:tr w:rsidR="00112904" w14:paraId="596B015C"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1D6" w14:textId="62818BBE" w:rsidR="00112904" w:rsidRPr="00C31019" w:rsidRDefault="00112904">
            <w:pPr>
              <w:pStyle w:val="TableRow"/>
              <w:rPr>
                <w:iCs/>
                <w:szCs w:val="28"/>
              </w:rPr>
            </w:pPr>
            <w:r w:rsidRPr="00C31019">
              <w:rPr>
                <w:iCs/>
                <w:szCs w:val="28"/>
              </w:rPr>
              <w:t>P</w:t>
            </w:r>
            <w:r w:rsidR="002E6A99" w:rsidRPr="00C31019">
              <w:rPr>
                <w:iCs/>
                <w:szCs w:val="28"/>
              </w:rPr>
              <w:t>ositive impact centre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92B0" w14:textId="0C577193" w:rsidR="00112904" w:rsidRDefault="002E6A99">
            <w:pPr>
              <w:pStyle w:val="TableRowCentered"/>
              <w:jc w:val="left"/>
              <w:rPr>
                <w:color w:val="auto"/>
                <w:szCs w:val="22"/>
              </w:rPr>
            </w:pPr>
            <w:r>
              <w:rPr>
                <w:color w:val="auto"/>
                <w:szCs w:val="22"/>
              </w:rPr>
              <w:t xml:space="preserve">Developing a regulation space and adaptive curriculum offer to support disadvantaged students at risk of permanent exclusion or becoming NEET.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6533" w14:textId="04A025E6" w:rsidR="00112904" w:rsidRDefault="00305A2A">
            <w:pPr>
              <w:pStyle w:val="TableRowCentered"/>
              <w:jc w:val="left"/>
              <w:rPr>
                <w:sz w:val="22"/>
              </w:rPr>
            </w:pPr>
            <w:r>
              <w:rPr>
                <w:sz w:val="22"/>
              </w:rPr>
              <w:t>3,4</w:t>
            </w:r>
            <w:r w:rsidR="00C31019">
              <w:rPr>
                <w:sz w:val="22"/>
              </w:rPr>
              <w:t>,6</w:t>
            </w:r>
          </w:p>
        </w:tc>
      </w:tr>
      <w:tr w:rsidR="002E6A99" w14:paraId="6FD1F16B"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6C6D" w14:textId="48942853" w:rsidR="002E6A99" w:rsidRPr="00C31019" w:rsidRDefault="002E6A99">
            <w:pPr>
              <w:pStyle w:val="TableRow"/>
              <w:rPr>
                <w:iCs/>
                <w:szCs w:val="28"/>
              </w:rPr>
            </w:pPr>
            <w:r w:rsidRPr="00C31019">
              <w:rPr>
                <w:iCs/>
                <w:szCs w:val="28"/>
              </w:rPr>
              <w:t>Extracurricular activities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68F7" w14:textId="2A606CBA" w:rsidR="002E6A99" w:rsidRDefault="002E6A99">
            <w:pPr>
              <w:pStyle w:val="TableRowCentered"/>
              <w:jc w:val="left"/>
              <w:rPr>
                <w:color w:val="auto"/>
                <w:szCs w:val="22"/>
              </w:rPr>
            </w:pPr>
            <w:r>
              <w:t>Extracurricular activities are an important part of education. These approaches may increase engagement in learning, but it is important to consider how increased engagement will be translated into improved teaching and learning. Supporting resources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E9DA0" w14:textId="4306C6C1" w:rsidR="002E6A99" w:rsidRDefault="00305A2A">
            <w:pPr>
              <w:pStyle w:val="TableRowCentered"/>
              <w:jc w:val="left"/>
              <w:rPr>
                <w:sz w:val="22"/>
              </w:rPr>
            </w:pPr>
            <w:r>
              <w:rPr>
                <w:sz w:val="22"/>
              </w:rPr>
              <w:t>1,3,4,5</w:t>
            </w:r>
            <w:r w:rsidR="00C31019">
              <w:rPr>
                <w:sz w:val="22"/>
              </w:rPr>
              <w:t>,6</w:t>
            </w:r>
          </w:p>
        </w:tc>
      </w:tr>
      <w:tr w:rsidR="002E6A99" w14:paraId="32671160"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5E9E" w14:textId="6C064035" w:rsidR="002E6A99" w:rsidRPr="00C31019" w:rsidRDefault="002E6A99">
            <w:pPr>
              <w:pStyle w:val="TableRow"/>
              <w:rPr>
                <w:iCs/>
                <w:sz w:val="22"/>
              </w:rPr>
            </w:pPr>
            <w:r w:rsidRPr="00C31019">
              <w:rPr>
                <w:iCs/>
                <w:szCs w:val="28"/>
              </w:rPr>
              <w:t>Breakfast club</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EB51" w14:textId="77777777" w:rsidR="002E6A99" w:rsidRDefault="002E6A99">
            <w:pPr>
              <w:pStyle w:val="TableRowCentered"/>
              <w:jc w:val="left"/>
            </w:pPr>
            <w:r>
              <w:t xml:space="preserve">There is some evidence that providing free, universal, before-school breakfast clubs can benefit pupils, by preparing children for learning or supporting behaviour and school attendance. Supporting resources: </w:t>
            </w:r>
          </w:p>
          <w:p w14:paraId="09437FF8" w14:textId="77777777" w:rsidR="002E6A99" w:rsidRDefault="002E6A99">
            <w:pPr>
              <w:pStyle w:val="TableRowCentered"/>
              <w:jc w:val="left"/>
            </w:pPr>
          </w:p>
          <w:p w14:paraId="33A8E891" w14:textId="36F25213" w:rsidR="002E6A99" w:rsidRDefault="002E6A99">
            <w:pPr>
              <w:pStyle w:val="TableRowCentered"/>
              <w:jc w:val="left"/>
              <w:rPr>
                <w:color w:val="auto"/>
                <w:szCs w:val="22"/>
              </w:rPr>
            </w:pPr>
            <w:r>
              <w:t>• The EEF has independently evaluated the Magic Breakfast programme.</w:t>
            </w:r>
          </w:p>
          <w:p w14:paraId="70F6837F" w14:textId="77777777" w:rsidR="002E6A99" w:rsidRDefault="002E6A99">
            <w:pPr>
              <w:pStyle w:val="TableRowCentered"/>
              <w:jc w:val="left"/>
              <w:rPr>
                <w:color w:val="auto"/>
                <w:szCs w:val="22"/>
              </w:rPr>
            </w:pPr>
          </w:p>
          <w:p w14:paraId="23112B49" w14:textId="77777777" w:rsidR="002E6A99" w:rsidRDefault="002E6A99">
            <w:pPr>
              <w:pStyle w:val="TableRowCentered"/>
              <w:jc w:val="left"/>
              <w:rPr>
                <w:color w:val="auto"/>
                <w:szCs w:val="22"/>
              </w:rPr>
            </w:pPr>
          </w:p>
          <w:p w14:paraId="5C10C6DD" w14:textId="3C1F97D9" w:rsidR="002E6A99" w:rsidRDefault="002E6A99">
            <w:pPr>
              <w:pStyle w:val="TableRowCentered"/>
              <w:jc w:val="left"/>
              <w:rPr>
                <w:color w:val="auto"/>
                <w:szCs w:val="22"/>
              </w:rPr>
            </w:pPr>
            <w:r>
              <w:rPr>
                <w:color w:val="auto"/>
                <w:szCs w:val="22"/>
              </w:rPr>
              <w:t xml:space="preserve">This is a universal provision as not to identify or discriminate disadvantaged students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E29B" w14:textId="0AE17E6E" w:rsidR="002E6A99" w:rsidRDefault="00305A2A">
            <w:pPr>
              <w:pStyle w:val="TableRowCentered"/>
              <w:jc w:val="left"/>
              <w:rPr>
                <w:sz w:val="22"/>
              </w:rPr>
            </w:pPr>
            <w:r>
              <w:rPr>
                <w:sz w:val="22"/>
              </w:rPr>
              <w:t>1</w:t>
            </w:r>
          </w:p>
        </w:tc>
      </w:tr>
      <w:tr w:rsidR="00C31019" w14:paraId="2B70D2D5" w14:textId="77777777" w:rsidTr="004A23C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C6E5" w14:textId="7D2EB85F" w:rsidR="00C31019" w:rsidRPr="00C31019" w:rsidRDefault="00C31019">
            <w:pPr>
              <w:pStyle w:val="TableRow"/>
              <w:rPr>
                <w:iCs/>
                <w:szCs w:val="28"/>
              </w:rPr>
            </w:pPr>
            <w:r>
              <w:rPr>
                <w:iCs/>
                <w:szCs w:val="28"/>
              </w:rPr>
              <w:t>Transition Support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81E0D" w14:textId="06B58A55" w:rsidR="00C31019" w:rsidRDefault="00C31019">
            <w:pPr>
              <w:pStyle w:val="TableRowCentered"/>
              <w:jc w:val="left"/>
            </w:pPr>
            <w:r>
              <w:t>Clear programme of transition support into school and at key points such as progression to KS4 pathways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B0EB" w14:textId="503D2CF8" w:rsidR="00C31019" w:rsidRDefault="00C31019">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69C8D908" w:rsidR="00E66558" w:rsidRDefault="009D71E8" w:rsidP="00120AB1">
      <w:r>
        <w:rPr>
          <w:b/>
          <w:bCs/>
          <w:color w:val="104F75"/>
          <w:sz w:val="28"/>
          <w:szCs w:val="28"/>
        </w:rPr>
        <w:t xml:space="preserve">Total budgeted cost: £ </w:t>
      </w:r>
      <w:r w:rsidR="000C66BA">
        <w:rPr>
          <w:i/>
          <w:iCs/>
          <w:color w:val="104F75"/>
          <w:sz w:val="28"/>
          <w:szCs w:val="28"/>
        </w:rPr>
        <w:t>317, 300</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38172" w14:textId="77777777" w:rsidR="004D1FDC" w:rsidRDefault="004D1FDC" w:rsidP="004D1FDC">
            <w:pPr>
              <w:spacing w:before="120"/>
              <w:rPr>
                <w:rFonts w:ascii="Tahoma" w:hAnsi="Tahoma" w:cs="Tahoma"/>
                <w:sz w:val="22"/>
                <w:szCs w:val="22"/>
              </w:rPr>
            </w:pPr>
            <w:r w:rsidRPr="006B7DA9">
              <w:rPr>
                <w:rFonts w:ascii="Tahoma" w:hAnsi="Tahoma" w:cs="Tahoma"/>
                <w:sz w:val="22"/>
                <w:szCs w:val="22"/>
              </w:rPr>
              <w:t xml:space="preserve">The Thinking Reading programme was introduced and was used aid targeted students to be able to read to their chronological age or better.  </w:t>
            </w:r>
            <w:r>
              <w:rPr>
                <w:rFonts w:ascii="Tahoma" w:hAnsi="Tahoma" w:cs="Tahoma"/>
                <w:sz w:val="22"/>
                <w:szCs w:val="22"/>
              </w:rPr>
              <w:t xml:space="preserve">Over half the selected students graduated with a reading age at least in line with their chronological age. </w:t>
            </w:r>
            <w:r w:rsidRPr="006B7DA9">
              <w:rPr>
                <w:rFonts w:ascii="Tahoma" w:hAnsi="Tahoma" w:cs="Tahoma"/>
                <w:sz w:val="22"/>
                <w:szCs w:val="22"/>
              </w:rPr>
              <w:t xml:space="preserve"> The national average for the program is 2 months per session, therefore as a school we are slightly above average</w:t>
            </w:r>
            <w:r>
              <w:rPr>
                <w:rFonts w:ascii="Tahoma" w:hAnsi="Tahoma" w:cs="Tahoma"/>
                <w:sz w:val="22"/>
                <w:szCs w:val="22"/>
              </w:rPr>
              <w:t xml:space="preserve"> at 2.7 months per session</w:t>
            </w:r>
            <w:r w:rsidRPr="006B7DA9">
              <w:rPr>
                <w:rFonts w:ascii="Tahoma" w:hAnsi="Tahoma" w:cs="Tahoma"/>
                <w:sz w:val="22"/>
                <w:szCs w:val="22"/>
              </w:rPr>
              <w:t xml:space="preserve">.  </w:t>
            </w:r>
            <w:r>
              <w:rPr>
                <w:rFonts w:ascii="Tahoma" w:hAnsi="Tahoma" w:cs="Tahoma"/>
                <w:sz w:val="22"/>
                <w:szCs w:val="22"/>
              </w:rPr>
              <w:t xml:space="preserve">It took on average 31 sessions to graduate the programme. </w:t>
            </w:r>
          </w:p>
          <w:p w14:paraId="4319E667" w14:textId="77777777" w:rsidR="004D1FDC" w:rsidRDefault="004D1FDC" w:rsidP="004D1FDC">
            <w:pPr>
              <w:spacing w:before="120"/>
              <w:rPr>
                <w:rFonts w:ascii="Tahoma" w:hAnsi="Tahoma" w:cs="Tahoma"/>
                <w:sz w:val="22"/>
                <w:szCs w:val="22"/>
              </w:rPr>
            </w:pPr>
          </w:p>
          <w:p w14:paraId="50A9A690" w14:textId="44BE4CB9" w:rsidR="008B4A34" w:rsidRDefault="004D1FDC" w:rsidP="008B4A34">
            <w:r w:rsidRPr="006B7DA9">
              <w:rPr>
                <w:rFonts w:ascii="Tahoma" w:hAnsi="Tahoma" w:cs="Tahoma"/>
                <w:sz w:val="22"/>
                <w:szCs w:val="22"/>
              </w:rPr>
              <w:t>We also introduced Future Writers to our Year 8 curriculum following our participation in the No More Marking project to help students to enhance their writing and extend their writing so that it is well structured and precise grammar is used with a reduction in errors</w:t>
            </w:r>
            <w:r w:rsidR="008B4A34">
              <w:rPr>
                <w:rFonts w:ascii="Tahoma" w:hAnsi="Tahoma" w:cs="Tahoma"/>
                <w:sz w:val="22"/>
                <w:szCs w:val="22"/>
              </w:rPr>
              <w:t>. 15</w:t>
            </w:r>
            <w:r w:rsidR="008B4A34">
              <w:rPr>
                <w:rFonts w:ascii="Tahoma" w:hAnsi="Tahoma" w:cs="Tahoma"/>
                <w:sz w:val="22"/>
                <w:szCs w:val="22"/>
                <w:highlight w:val="yellow"/>
              </w:rPr>
              <w:t xml:space="preserve"> </w:t>
            </w:r>
            <w:r w:rsidR="008B4A34">
              <w:t>sat Level 1 English (equivalent to a GCSE grade 1-3 pass). 2 pupils passed the Reading component.13 pupils passed the Speaking and Listening component. 9 pupils passed the Writing component. 9 pupils have achieved a level 1 English award. 1 pupil will re-sit the writing paper in Year 10 through C8 provision. In the 2023-2023 academic year 11 pupils are currently working towards a Level 1 English award. The Reading paper is scheduled for Tuesday 7</w:t>
            </w:r>
            <w:r w:rsidR="008B4A34">
              <w:rPr>
                <w:vertAlign w:val="superscript"/>
              </w:rPr>
              <w:t>th</w:t>
            </w:r>
            <w:r w:rsidR="008B4A34">
              <w:t xml:space="preserve"> November. Results will be released in January. The Speaking and Listening component will be submitted in February 2024 and the final Writing component will be sat in May 2024.</w:t>
            </w:r>
          </w:p>
          <w:p w14:paraId="53A8DE26" w14:textId="2ABC0A2E" w:rsidR="004D1FDC" w:rsidRPr="000D658F" w:rsidRDefault="004D1FDC" w:rsidP="004D1FDC">
            <w:pPr>
              <w:spacing w:before="120"/>
              <w:rPr>
                <w:rFonts w:ascii="Tahoma" w:hAnsi="Tahoma" w:cs="Tahoma"/>
                <w:sz w:val="22"/>
                <w:szCs w:val="22"/>
              </w:rPr>
            </w:pPr>
          </w:p>
          <w:p w14:paraId="0D69BCF2" w14:textId="512479CA" w:rsidR="008B4A34" w:rsidRDefault="004D1FDC" w:rsidP="008B4A34">
            <w:bookmarkStart w:id="20" w:name="_Hlk148434603"/>
            <w:r w:rsidRPr="000D658F">
              <w:rPr>
                <w:rFonts w:ascii="Tahoma" w:hAnsi="Tahoma" w:cs="Tahoma"/>
                <w:sz w:val="22"/>
                <w:szCs w:val="22"/>
              </w:rPr>
              <w:t xml:space="preserve">Bedrock vocabulary </w:t>
            </w:r>
            <w:r w:rsidR="008B4A34" w:rsidRPr="000D658F">
              <w:rPr>
                <w:rFonts w:ascii="Tahoma" w:hAnsi="Tahoma" w:cs="Tahoma"/>
                <w:sz w:val="22"/>
                <w:szCs w:val="22"/>
              </w:rPr>
              <w:t>was</w:t>
            </w:r>
            <w:r w:rsidRPr="000D658F">
              <w:rPr>
                <w:rFonts w:ascii="Tahoma" w:hAnsi="Tahoma" w:cs="Tahoma"/>
                <w:sz w:val="22"/>
                <w:szCs w:val="22"/>
              </w:rPr>
              <w:t xml:space="preserve"> introduced to aid students understanding of the texts they are exposed to within their curriculum.  </w:t>
            </w:r>
            <w:r w:rsidR="008B4A34" w:rsidRPr="000D658F">
              <w:t>In 2022-2023 there was active engagement of 72% of pupils completing at least one task a week, 54% completing two tasks a week. Although this is drop from 2021_2022, there were two additional year groups (Year 9 and 10) participating thus decreasing the average. With a change in approach to PREP and falling engagement we have move</w:t>
            </w:r>
            <w:r w:rsidR="00112904" w:rsidRPr="000D658F">
              <w:t>d</w:t>
            </w:r>
            <w:r w:rsidR="008B4A34" w:rsidRPr="000D658F">
              <w:t xml:space="preserve"> away from Bedrock.</w:t>
            </w:r>
          </w:p>
          <w:p w14:paraId="33F5E34E" w14:textId="77777777" w:rsidR="008B4A34" w:rsidRDefault="008B4A34" w:rsidP="008B4A34"/>
          <w:p w14:paraId="451DBB30" w14:textId="7AC7EFBE" w:rsidR="008B4A34" w:rsidRDefault="008B4A34" w:rsidP="008B4A34">
            <w:pPr>
              <w:rPr>
                <w:color w:val="auto"/>
                <w:sz w:val="22"/>
                <w:szCs w:val="22"/>
              </w:rPr>
            </w:pPr>
            <w:r>
              <w:t xml:space="preserve">No more Marking </w:t>
            </w:r>
            <w:r w:rsidR="00A35EF3">
              <w:t>–</w:t>
            </w:r>
            <w:r>
              <w:t xml:space="preserve"> </w:t>
            </w:r>
            <w:r w:rsidR="00A35EF3">
              <w:t xml:space="preserve">Results from the 2022-2023 year demonstrate on average our students are one month ahead of other schools within the programme. </w:t>
            </w:r>
            <w:r w:rsidR="002E6A99">
              <w:t xml:space="preserve">The no more marking data from 2022-2023 informed the next cohort of future </w:t>
            </w:r>
            <w:proofErr w:type="gramStart"/>
            <w:r w:rsidR="002E6A99">
              <w:t>writers</w:t>
            </w:r>
            <w:proofErr w:type="gramEnd"/>
            <w:r w:rsidR="002E6A99">
              <w:t xml:space="preserve"> students to further enhance their development and progress.</w:t>
            </w:r>
          </w:p>
          <w:p w14:paraId="105F44C1" w14:textId="1D06DD80" w:rsidR="004D1FDC" w:rsidRPr="004F5DCF" w:rsidRDefault="004D1FDC" w:rsidP="004D1FDC">
            <w:pPr>
              <w:spacing w:before="120"/>
              <w:rPr>
                <w:rFonts w:ascii="Tahoma" w:hAnsi="Tahoma" w:cs="Tahoma"/>
                <w:iCs/>
                <w:sz w:val="22"/>
                <w:szCs w:val="22"/>
                <w:highlight w:val="yellow"/>
              </w:rPr>
            </w:pPr>
          </w:p>
          <w:bookmarkEnd w:id="20"/>
          <w:p w14:paraId="31DD57A3" w14:textId="37201CF4" w:rsidR="004D1FDC" w:rsidRPr="00257CB0" w:rsidRDefault="004D1FDC" w:rsidP="004D1FDC">
            <w:pPr>
              <w:spacing w:line="252" w:lineRule="auto"/>
              <w:contextualSpacing/>
              <w:rPr>
                <w:rFonts w:ascii="Tahoma" w:hAnsi="Tahoma" w:cs="Tahoma"/>
                <w:sz w:val="22"/>
                <w:szCs w:val="22"/>
              </w:rPr>
            </w:pPr>
            <w:r w:rsidRPr="00257CB0">
              <w:rPr>
                <w:rFonts w:ascii="Tahoma" w:hAnsi="Tahoma" w:cs="Tahoma"/>
                <w:sz w:val="22"/>
                <w:szCs w:val="22"/>
              </w:rPr>
              <w:t xml:space="preserve">English 1 to 1 tutoring – the tutor has worked with 29 Year 11 students a week and we have seen an improvement in their Mock results and in-class assessments since having these sessions.  Of those who received tutoring 31% went on to achieve at least a standard pass and 27.6% students to secure a good pass or higher in English. </w:t>
            </w:r>
            <w:proofErr w:type="gramStart"/>
            <w:r w:rsidRPr="00257CB0">
              <w:rPr>
                <w:rFonts w:ascii="Tahoma" w:hAnsi="Tahoma" w:cs="Tahoma"/>
                <w:sz w:val="22"/>
                <w:szCs w:val="22"/>
              </w:rPr>
              <w:t>Overall</w:t>
            </w:r>
            <w:proofErr w:type="gramEnd"/>
            <w:r w:rsidRPr="00257CB0">
              <w:rPr>
                <w:rFonts w:ascii="Tahoma" w:hAnsi="Tahoma" w:cs="Tahoma"/>
                <w:sz w:val="22"/>
                <w:szCs w:val="22"/>
              </w:rPr>
              <w:t xml:space="preserve"> 57.6% of disadvantaged students achieved a standard pass in English, which is above the 53.5% in Essex. 48.5% of disadvantaged students achieved a good pass in English compared to a figure of 36.9% in Essex.  </w:t>
            </w:r>
            <w:r w:rsidRPr="00257CB0">
              <w:rPr>
                <w:rFonts w:ascii="Tahoma" w:hAnsi="Tahoma" w:cs="Tahoma"/>
                <w:iCs/>
                <w:sz w:val="22"/>
                <w:szCs w:val="22"/>
              </w:rPr>
              <w:t xml:space="preserve">Average attainment for PP students for the English was 4.24 compared to 4.95 for </w:t>
            </w:r>
            <w:proofErr w:type="spellStart"/>
            <w:r w:rsidRPr="00257CB0">
              <w:rPr>
                <w:rFonts w:ascii="Tahoma" w:hAnsi="Tahoma" w:cs="Tahoma"/>
                <w:iCs/>
                <w:sz w:val="22"/>
                <w:szCs w:val="22"/>
              </w:rPr>
              <w:t>non disadvantaged</w:t>
            </w:r>
            <w:proofErr w:type="spellEnd"/>
            <w:r w:rsidRPr="00257CB0">
              <w:rPr>
                <w:rFonts w:ascii="Tahoma" w:hAnsi="Tahoma" w:cs="Tahoma"/>
                <w:iCs/>
                <w:sz w:val="22"/>
                <w:szCs w:val="22"/>
              </w:rPr>
              <w:t xml:space="preserve"> students.</w:t>
            </w:r>
          </w:p>
          <w:p w14:paraId="1377D28C" w14:textId="77777777" w:rsidR="004D1FDC" w:rsidRPr="00257CB0" w:rsidRDefault="004D1FDC" w:rsidP="004D1FDC">
            <w:pPr>
              <w:spacing w:after="0"/>
              <w:rPr>
                <w:rFonts w:ascii="Tahoma" w:hAnsi="Tahoma" w:cs="Tahoma"/>
                <w:sz w:val="22"/>
                <w:szCs w:val="22"/>
              </w:rPr>
            </w:pPr>
          </w:p>
          <w:p w14:paraId="76D4FF86" w14:textId="77777777" w:rsidR="004D1FDC" w:rsidRDefault="004D1FDC" w:rsidP="004D1FDC">
            <w:pPr>
              <w:spacing w:after="0"/>
              <w:rPr>
                <w:rFonts w:ascii="Tahoma" w:hAnsi="Tahoma" w:cs="Tahoma"/>
                <w:iCs/>
                <w:sz w:val="22"/>
                <w:szCs w:val="22"/>
              </w:rPr>
            </w:pPr>
            <w:r w:rsidRPr="00257CB0">
              <w:rPr>
                <w:rFonts w:ascii="Tahoma" w:hAnsi="Tahoma" w:cs="Tahoma"/>
                <w:sz w:val="22"/>
                <w:szCs w:val="22"/>
              </w:rPr>
              <w:t xml:space="preserve">Maths Support – 23 students in total benefitted from additional Maths </w:t>
            </w:r>
            <w:proofErr w:type="gramStart"/>
            <w:r w:rsidRPr="00257CB0">
              <w:rPr>
                <w:rFonts w:ascii="Tahoma" w:hAnsi="Tahoma" w:cs="Tahoma"/>
                <w:sz w:val="22"/>
                <w:szCs w:val="22"/>
              </w:rPr>
              <w:t>support  -</w:t>
            </w:r>
            <w:proofErr w:type="gramEnd"/>
            <w:r w:rsidRPr="00257CB0">
              <w:rPr>
                <w:rFonts w:ascii="Tahoma" w:hAnsi="Tahoma" w:cs="Tahoma"/>
                <w:sz w:val="22"/>
                <w:szCs w:val="22"/>
              </w:rPr>
              <w:t xml:space="preserve"> this helped 39% of those supported to secure a at least a standard pass and 30.4% secure a good pass. 66.7% of disadvantaged students achieved a standard pass in Maths comparted to 47.6% in Essex. 30.3% of disadvantaged students achieved a good pass which is marginally above the 27.3% figure for the whole of Essex.</w:t>
            </w:r>
            <w:r w:rsidRPr="00257CB0">
              <w:rPr>
                <w:rFonts w:ascii="Tahoma" w:hAnsi="Tahoma" w:cs="Tahoma"/>
                <w:iCs/>
                <w:sz w:val="22"/>
                <w:szCs w:val="22"/>
              </w:rPr>
              <w:t xml:space="preserve"> The average attainment of disadvantaged students for the Maths it was 3.82 compared to 4.39 for </w:t>
            </w:r>
            <w:proofErr w:type="spellStart"/>
            <w:r w:rsidRPr="00257CB0">
              <w:rPr>
                <w:rFonts w:ascii="Tahoma" w:hAnsi="Tahoma" w:cs="Tahoma"/>
                <w:iCs/>
                <w:sz w:val="22"/>
                <w:szCs w:val="22"/>
              </w:rPr>
              <w:t>non disadvantaged</w:t>
            </w:r>
            <w:proofErr w:type="spellEnd"/>
            <w:r>
              <w:rPr>
                <w:rFonts w:ascii="Tahoma" w:hAnsi="Tahoma" w:cs="Tahoma"/>
                <w:iCs/>
                <w:sz w:val="22"/>
                <w:szCs w:val="22"/>
              </w:rPr>
              <w:t xml:space="preserve">. </w:t>
            </w:r>
          </w:p>
          <w:p w14:paraId="645BC07F" w14:textId="77777777" w:rsidR="004D1FDC" w:rsidRDefault="004D1FDC" w:rsidP="004D1FDC">
            <w:pPr>
              <w:spacing w:after="0"/>
              <w:rPr>
                <w:rFonts w:ascii="Tahoma" w:hAnsi="Tahoma" w:cs="Tahoma"/>
                <w:iCs/>
                <w:sz w:val="22"/>
                <w:szCs w:val="22"/>
              </w:rPr>
            </w:pPr>
          </w:p>
          <w:p w14:paraId="2EF4BC0D" w14:textId="77777777" w:rsidR="004D1FDC" w:rsidRDefault="004D1FDC" w:rsidP="004D1FDC">
            <w:pPr>
              <w:spacing w:after="0"/>
              <w:rPr>
                <w:rFonts w:ascii="Tahoma" w:hAnsi="Tahoma" w:cs="Tahoma"/>
                <w:iCs/>
                <w:sz w:val="22"/>
                <w:szCs w:val="22"/>
              </w:rPr>
            </w:pPr>
          </w:p>
          <w:p w14:paraId="144ABC20" w14:textId="77777777" w:rsidR="004D1FDC" w:rsidRDefault="004D1FDC" w:rsidP="004D1FDC">
            <w:pPr>
              <w:spacing w:after="0"/>
              <w:rPr>
                <w:rFonts w:ascii="Tahoma" w:hAnsi="Tahoma" w:cs="Tahoma"/>
                <w:iCs/>
                <w:sz w:val="22"/>
                <w:szCs w:val="22"/>
              </w:rPr>
            </w:pPr>
            <w:r w:rsidRPr="00E54016">
              <w:rPr>
                <w:rFonts w:ascii="Tahoma" w:hAnsi="Tahoma" w:cs="Tahoma"/>
                <w:iCs/>
                <w:sz w:val="22"/>
                <w:szCs w:val="22"/>
              </w:rPr>
              <w:t xml:space="preserve">Disadvantaged students accounted for 14% if of our cohort, an increase from the 2021-2022 academic year. </w:t>
            </w:r>
            <w:proofErr w:type="gramStart"/>
            <w:r w:rsidRPr="00E54016">
              <w:rPr>
                <w:rFonts w:ascii="Tahoma" w:hAnsi="Tahoma" w:cs="Tahoma"/>
                <w:iCs/>
                <w:sz w:val="22"/>
                <w:szCs w:val="22"/>
              </w:rPr>
              <w:t>Furthermore</w:t>
            </w:r>
            <w:proofErr w:type="gramEnd"/>
            <w:r w:rsidRPr="00E54016">
              <w:rPr>
                <w:rFonts w:ascii="Tahoma" w:hAnsi="Tahoma" w:cs="Tahoma"/>
                <w:iCs/>
                <w:sz w:val="22"/>
                <w:szCs w:val="22"/>
              </w:rPr>
              <w:t xml:space="preserve"> not all of these students were included in the end point measurements. The disadvantaged gap remained in the 2023 result series. There is a </w:t>
            </w:r>
            <w:proofErr w:type="gramStart"/>
            <w:r w:rsidRPr="00E54016">
              <w:rPr>
                <w:rFonts w:ascii="Tahoma" w:hAnsi="Tahoma" w:cs="Tahoma"/>
                <w:iCs/>
                <w:sz w:val="22"/>
                <w:szCs w:val="22"/>
              </w:rPr>
              <w:t>-0.6 gap</w:t>
            </w:r>
            <w:proofErr w:type="gramEnd"/>
            <w:r w:rsidRPr="00E54016">
              <w:rPr>
                <w:rFonts w:ascii="Tahoma" w:hAnsi="Tahoma" w:cs="Tahoma"/>
                <w:iCs/>
                <w:sz w:val="22"/>
                <w:szCs w:val="22"/>
              </w:rPr>
              <w:t xml:space="preserve"> disadvantaged gap. The percentage of students achieving a grade </w:t>
            </w:r>
            <w:r>
              <w:rPr>
                <w:rFonts w:ascii="Tahoma" w:hAnsi="Tahoma" w:cs="Tahoma"/>
                <w:iCs/>
                <w:sz w:val="22"/>
                <w:szCs w:val="22"/>
              </w:rPr>
              <w:t>4</w:t>
            </w:r>
            <w:r w:rsidRPr="00E54016">
              <w:rPr>
                <w:rFonts w:ascii="Tahoma" w:hAnsi="Tahoma" w:cs="Tahoma"/>
                <w:iCs/>
                <w:sz w:val="22"/>
                <w:szCs w:val="22"/>
              </w:rPr>
              <w:t xml:space="preserve"> or above in English and Maths was </w:t>
            </w:r>
            <w:r>
              <w:rPr>
                <w:rFonts w:ascii="Tahoma" w:hAnsi="Tahoma" w:cs="Tahoma"/>
                <w:iCs/>
                <w:sz w:val="22"/>
                <w:szCs w:val="22"/>
              </w:rPr>
              <w:t>54.5%</w:t>
            </w:r>
            <w:r w:rsidRPr="00E54016">
              <w:rPr>
                <w:rFonts w:ascii="Tahoma" w:hAnsi="Tahoma" w:cs="Tahoma"/>
                <w:iCs/>
                <w:sz w:val="22"/>
                <w:szCs w:val="22"/>
              </w:rPr>
              <w:t xml:space="preserve">, </w:t>
            </w:r>
            <w:r>
              <w:rPr>
                <w:rFonts w:ascii="Tahoma" w:hAnsi="Tahoma" w:cs="Tahoma"/>
                <w:iCs/>
                <w:sz w:val="22"/>
                <w:szCs w:val="22"/>
              </w:rPr>
              <w:t xml:space="preserve">this is well above the Essex figure of 41%. </w:t>
            </w:r>
            <w:r w:rsidRPr="00E54016">
              <w:rPr>
                <w:rFonts w:ascii="Tahoma" w:hAnsi="Tahoma" w:cs="Tahoma"/>
                <w:iCs/>
                <w:sz w:val="22"/>
                <w:szCs w:val="22"/>
              </w:rPr>
              <w:t xml:space="preserve"> The percentage of students achieving a grade 5 or above in English and Maths was 24.2%, </w:t>
            </w:r>
            <w:r>
              <w:rPr>
                <w:rFonts w:ascii="Tahoma" w:hAnsi="Tahoma" w:cs="Tahoma"/>
                <w:iCs/>
                <w:sz w:val="22"/>
                <w:szCs w:val="22"/>
              </w:rPr>
              <w:t xml:space="preserve">this is above the Essex figure of 22.2%. </w:t>
            </w:r>
            <w:r w:rsidRPr="00E54016">
              <w:rPr>
                <w:rFonts w:ascii="Tahoma" w:hAnsi="Tahoma" w:cs="Tahoma"/>
                <w:iCs/>
                <w:sz w:val="22"/>
                <w:szCs w:val="22"/>
              </w:rPr>
              <w:t xml:space="preserve">This compares to 37.6% of other students achieving the same good pass in English and Maths. </w:t>
            </w:r>
            <w:r>
              <w:rPr>
                <w:rFonts w:ascii="Tahoma" w:hAnsi="Tahoma" w:cs="Tahoma"/>
                <w:iCs/>
                <w:sz w:val="22"/>
                <w:szCs w:val="22"/>
              </w:rPr>
              <w:t>When looking at the percentage of GCSE’s secured at a 7+ our disadvantaged figure of 21.8% is well above the Essex figure of 8.9%.</w:t>
            </w:r>
          </w:p>
          <w:p w14:paraId="121FC629" w14:textId="77777777" w:rsidR="004D1FDC" w:rsidRDefault="004D1FDC" w:rsidP="004D1FDC">
            <w:pPr>
              <w:spacing w:after="0"/>
              <w:rPr>
                <w:rFonts w:ascii="Tahoma" w:hAnsi="Tahoma" w:cs="Tahoma"/>
                <w:iCs/>
                <w:sz w:val="22"/>
                <w:szCs w:val="22"/>
              </w:rPr>
            </w:pPr>
          </w:p>
          <w:p w14:paraId="6801BEA7" w14:textId="77777777" w:rsidR="004D1FDC" w:rsidRDefault="004D1FDC" w:rsidP="004D1FDC">
            <w:pPr>
              <w:spacing w:after="0"/>
              <w:rPr>
                <w:rFonts w:ascii="Tahoma" w:hAnsi="Tahoma" w:cs="Tahoma"/>
                <w:iCs/>
                <w:sz w:val="22"/>
                <w:szCs w:val="22"/>
              </w:rPr>
            </w:pPr>
          </w:p>
          <w:p w14:paraId="25FBE982" w14:textId="77777777" w:rsidR="004D1FDC" w:rsidRDefault="004D1FDC" w:rsidP="004D1FDC">
            <w:pPr>
              <w:spacing w:after="0"/>
              <w:rPr>
                <w:rFonts w:ascii="Tahoma" w:hAnsi="Tahoma" w:cs="Tahoma"/>
                <w:iCs/>
                <w:sz w:val="22"/>
                <w:szCs w:val="22"/>
              </w:rPr>
            </w:pPr>
          </w:p>
          <w:p w14:paraId="5023926C" w14:textId="4C39D5BA" w:rsidR="0064167B" w:rsidRPr="002F4C6F" w:rsidRDefault="004D1FDC" w:rsidP="004D1FDC">
            <w:pPr>
              <w:spacing w:before="60"/>
              <w:rPr>
                <w:i/>
                <w:iCs/>
                <w:lang w:eastAsia="en-US"/>
              </w:rPr>
            </w:pPr>
            <w:r w:rsidRPr="00A35EF3">
              <w:rPr>
                <w:rFonts w:ascii="Tahoma" w:hAnsi="Tahoma" w:cs="Tahoma"/>
                <w:sz w:val="22"/>
                <w:szCs w:val="22"/>
              </w:rPr>
              <w:t xml:space="preserve">Attendance for disadvantaged pupils for 2022/23 was 89.3% and the whole school was 92.4%.  Attendance of disadvantaged pupils is still </w:t>
            </w:r>
            <w:proofErr w:type="gramStart"/>
            <w:r w:rsidRPr="00A35EF3">
              <w:rPr>
                <w:rFonts w:ascii="Tahoma" w:hAnsi="Tahoma" w:cs="Tahoma"/>
                <w:sz w:val="22"/>
                <w:szCs w:val="22"/>
              </w:rPr>
              <w:t>continues</w:t>
            </w:r>
            <w:proofErr w:type="gramEnd"/>
            <w:r w:rsidRPr="00A35EF3">
              <w:rPr>
                <w:rFonts w:ascii="Tahoma" w:hAnsi="Tahoma" w:cs="Tahoma"/>
                <w:sz w:val="22"/>
                <w:szCs w:val="22"/>
              </w:rPr>
              <w:t xml:space="preserve"> to be an area of focus.</w:t>
            </w:r>
          </w:p>
        </w:tc>
      </w:tr>
    </w:tbl>
    <w:p w14:paraId="2A7D5548" w14:textId="0199D85C" w:rsidR="00E66558" w:rsidRDefault="006D6372" w:rsidP="00A82A98">
      <w:pPr>
        <w:pStyle w:val="Heading2"/>
      </w:pPr>
      <w:r>
        <w:t>E</w:t>
      </w:r>
      <w:r w:rsidR="009D71E8">
        <w:t xml:space="preserve">xternally provided </w:t>
      </w:r>
      <w:proofErr w:type="gramStart"/>
      <w:r w:rsidR="009D71E8" w:rsidRPr="00781713">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A682" w14:textId="77777777" w:rsidR="00134C75" w:rsidRDefault="00134C75">
      <w:pPr>
        <w:spacing w:after="0" w:line="240" w:lineRule="auto"/>
      </w:pPr>
      <w:r>
        <w:separator/>
      </w:r>
    </w:p>
  </w:endnote>
  <w:endnote w:type="continuationSeparator" w:id="0">
    <w:p w14:paraId="742CC78A" w14:textId="77777777" w:rsidR="00134C75" w:rsidRDefault="00134C75">
      <w:pPr>
        <w:spacing w:after="0" w:line="240" w:lineRule="auto"/>
      </w:pPr>
      <w:r>
        <w:continuationSeparator/>
      </w:r>
    </w:p>
  </w:endnote>
  <w:endnote w:type="continuationNotice" w:id="1">
    <w:p w14:paraId="35D2A344" w14:textId="77777777" w:rsidR="00134C75" w:rsidRDefault="00134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72DB" w14:textId="77777777" w:rsidR="00134C75" w:rsidRDefault="00134C75">
      <w:pPr>
        <w:spacing w:after="0" w:line="240" w:lineRule="auto"/>
      </w:pPr>
      <w:r>
        <w:separator/>
      </w:r>
    </w:p>
  </w:footnote>
  <w:footnote w:type="continuationSeparator" w:id="0">
    <w:p w14:paraId="12F8764C" w14:textId="77777777" w:rsidR="00134C75" w:rsidRDefault="00134C75">
      <w:pPr>
        <w:spacing w:after="0" w:line="240" w:lineRule="auto"/>
      </w:pPr>
      <w:r>
        <w:continuationSeparator/>
      </w:r>
    </w:p>
  </w:footnote>
  <w:footnote w:type="continuationNotice" w:id="1">
    <w:p w14:paraId="672A7F1B" w14:textId="77777777" w:rsidR="00134C75" w:rsidRDefault="00134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12737199"/>
    <w:multiLevelType w:val="hybridMultilevel"/>
    <w:tmpl w:val="16D65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F91909"/>
    <w:multiLevelType w:val="hybridMultilevel"/>
    <w:tmpl w:val="72A2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5B4A854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F16DA8"/>
    <w:multiLevelType w:val="hybridMultilevel"/>
    <w:tmpl w:val="436C04F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6"/>
  </w:num>
  <w:num w:numId="2" w16cid:durableId="1628730595">
    <w:abstractNumId w:val="4"/>
  </w:num>
  <w:num w:numId="3" w16cid:durableId="497188144">
    <w:abstractNumId w:val="7"/>
  </w:num>
  <w:num w:numId="4" w16cid:durableId="1138914232">
    <w:abstractNumId w:val="8"/>
  </w:num>
  <w:num w:numId="5" w16cid:durableId="857932188">
    <w:abstractNumId w:val="2"/>
  </w:num>
  <w:num w:numId="6" w16cid:durableId="798501009">
    <w:abstractNumId w:val="10"/>
  </w:num>
  <w:num w:numId="7" w16cid:durableId="1210847263">
    <w:abstractNumId w:val="13"/>
  </w:num>
  <w:num w:numId="8" w16cid:durableId="982348153">
    <w:abstractNumId w:val="19"/>
  </w:num>
  <w:num w:numId="9" w16cid:durableId="1529290868">
    <w:abstractNumId w:val="17"/>
  </w:num>
  <w:num w:numId="10" w16cid:durableId="1171066271">
    <w:abstractNumId w:val="15"/>
  </w:num>
  <w:num w:numId="11" w16cid:durableId="1453552857">
    <w:abstractNumId w:val="5"/>
  </w:num>
  <w:num w:numId="12" w16cid:durableId="1812097430">
    <w:abstractNumId w:val="18"/>
  </w:num>
  <w:num w:numId="13" w16cid:durableId="42288650">
    <w:abstractNumId w:val="12"/>
  </w:num>
  <w:num w:numId="14" w16cid:durableId="1721712531">
    <w:abstractNumId w:val="11"/>
  </w:num>
  <w:num w:numId="15" w16cid:durableId="1373193190">
    <w:abstractNumId w:val="1"/>
  </w:num>
  <w:num w:numId="16" w16cid:durableId="1391072707">
    <w:abstractNumId w:val="9"/>
  </w:num>
  <w:num w:numId="17" w16cid:durableId="639726252">
    <w:abstractNumId w:val="0"/>
  </w:num>
  <w:num w:numId="18" w16cid:durableId="190652742">
    <w:abstractNumId w:val="16"/>
  </w:num>
  <w:num w:numId="19" w16cid:durableId="846670983">
    <w:abstractNumId w:val="3"/>
  </w:num>
  <w:num w:numId="20" w16cid:durableId="1154641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EBD"/>
    <w:rsid w:val="00003A45"/>
    <w:rsid w:val="00022AFD"/>
    <w:rsid w:val="00023729"/>
    <w:rsid w:val="000243B4"/>
    <w:rsid w:val="0002530E"/>
    <w:rsid w:val="0002710D"/>
    <w:rsid w:val="00036678"/>
    <w:rsid w:val="000452EB"/>
    <w:rsid w:val="00045603"/>
    <w:rsid w:val="000463AE"/>
    <w:rsid w:val="000507A3"/>
    <w:rsid w:val="00060A62"/>
    <w:rsid w:val="00064366"/>
    <w:rsid w:val="00066B73"/>
    <w:rsid w:val="00071481"/>
    <w:rsid w:val="00072907"/>
    <w:rsid w:val="00075FAE"/>
    <w:rsid w:val="00082F38"/>
    <w:rsid w:val="000837DB"/>
    <w:rsid w:val="0008384B"/>
    <w:rsid w:val="000929EC"/>
    <w:rsid w:val="00093CDE"/>
    <w:rsid w:val="000A5C58"/>
    <w:rsid w:val="000A6379"/>
    <w:rsid w:val="000B0D49"/>
    <w:rsid w:val="000B203E"/>
    <w:rsid w:val="000C66BA"/>
    <w:rsid w:val="000D22B0"/>
    <w:rsid w:val="000D35C9"/>
    <w:rsid w:val="000D520C"/>
    <w:rsid w:val="000D658F"/>
    <w:rsid w:val="000D6596"/>
    <w:rsid w:val="000D6779"/>
    <w:rsid w:val="000E1F35"/>
    <w:rsid w:val="000E6DF0"/>
    <w:rsid w:val="001037CB"/>
    <w:rsid w:val="0010629E"/>
    <w:rsid w:val="00112904"/>
    <w:rsid w:val="00114288"/>
    <w:rsid w:val="00115538"/>
    <w:rsid w:val="00116FA8"/>
    <w:rsid w:val="00120AB1"/>
    <w:rsid w:val="00123A7F"/>
    <w:rsid w:val="001278D0"/>
    <w:rsid w:val="00127F72"/>
    <w:rsid w:val="00134C75"/>
    <w:rsid w:val="00140646"/>
    <w:rsid w:val="00147A4B"/>
    <w:rsid w:val="00152554"/>
    <w:rsid w:val="00155944"/>
    <w:rsid w:val="001559D7"/>
    <w:rsid w:val="00164C9E"/>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A5759"/>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1BE3"/>
    <w:rsid w:val="00242093"/>
    <w:rsid w:val="00243F22"/>
    <w:rsid w:val="002523E3"/>
    <w:rsid w:val="00252AD6"/>
    <w:rsid w:val="002542CE"/>
    <w:rsid w:val="00257A4E"/>
    <w:rsid w:val="00266FA5"/>
    <w:rsid w:val="002743E7"/>
    <w:rsid w:val="00276FBA"/>
    <w:rsid w:val="00277665"/>
    <w:rsid w:val="002837AE"/>
    <w:rsid w:val="002920F4"/>
    <w:rsid w:val="002940F3"/>
    <w:rsid w:val="00295842"/>
    <w:rsid w:val="002B2914"/>
    <w:rsid w:val="002B3574"/>
    <w:rsid w:val="002B6B74"/>
    <w:rsid w:val="002C6AE7"/>
    <w:rsid w:val="002D2D4B"/>
    <w:rsid w:val="002D3805"/>
    <w:rsid w:val="002E66AE"/>
    <w:rsid w:val="002E6A99"/>
    <w:rsid w:val="002E7763"/>
    <w:rsid w:val="002F4C6F"/>
    <w:rsid w:val="002F5011"/>
    <w:rsid w:val="002F5842"/>
    <w:rsid w:val="002F7847"/>
    <w:rsid w:val="00305A2A"/>
    <w:rsid w:val="00306CB7"/>
    <w:rsid w:val="003111F5"/>
    <w:rsid w:val="00317664"/>
    <w:rsid w:val="00336200"/>
    <w:rsid w:val="00337418"/>
    <w:rsid w:val="00343CED"/>
    <w:rsid w:val="00351D83"/>
    <w:rsid w:val="00352197"/>
    <w:rsid w:val="00353E46"/>
    <w:rsid w:val="003576C4"/>
    <w:rsid w:val="0036277A"/>
    <w:rsid w:val="00366AB0"/>
    <w:rsid w:val="003700E8"/>
    <w:rsid w:val="0037437C"/>
    <w:rsid w:val="0038146B"/>
    <w:rsid w:val="0038340F"/>
    <w:rsid w:val="00384457"/>
    <w:rsid w:val="00384F24"/>
    <w:rsid w:val="00391CBE"/>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2C5"/>
    <w:rsid w:val="00453307"/>
    <w:rsid w:val="00455A02"/>
    <w:rsid w:val="00457E36"/>
    <w:rsid w:val="00460BD3"/>
    <w:rsid w:val="00462F8F"/>
    <w:rsid w:val="004708F2"/>
    <w:rsid w:val="004724DE"/>
    <w:rsid w:val="004770FE"/>
    <w:rsid w:val="0048157F"/>
    <w:rsid w:val="00481D56"/>
    <w:rsid w:val="00490408"/>
    <w:rsid w:val="004A23CA"/>
    <w:rsid w:val="004A4C45"/>
    <w:rsid w:val="004B0485"/>
    <w:rsid w:val="004B428E"/>
    <w:rsid w:val="004B4D0A"/>
    <w:rsid w:val="004B4D37"/>
    <w:rsid w:val="004C42F0"/>
    <w:rsid w:val="004C56DF"/>
    <w:rsid w:val="004D1FDC"/>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3946"/>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6BA7"/>
    <w:rsid w:val="007677B8"/>
    <w:rsid w:val="00781713"/>
    <w:rsid w:val="00785285"/>
    <w:rsid w:val="0078529D"/>
    <w:rsid w:val="00785E77"/>
    <w:rsid w:val="00787DC1"/>
    <w:rsid w:val="00794070"/>
    <w:rsid w:val="007A63CA"/>
    <w:rsid w:val="007A713B"/>
    <w:rsid w:val="007A7DA0"/>
    <w:rsid w:val="007B5034"/>
    <w:rsid w:val="007B64E5"/>
    <w:rsid w:val="007C2F04"/>
    <w:rsid w:val="007F06E5"/>
    <w:rsid w:val="007F4595"/>
    <w:rsid w:val="007F5B8B"/>
    <w:rsid w:val="00817E9A"/>
    <w:rsid w:val="00827786"/>
    <w:rsid w:val="00827BDA"/>
    <w:rsid w:val="00830D57"/>
    <w:rsid w:val="00831F00"/>
    <w:rsid w:val="00850CA0"/>
    <w:rsid w:val="00852A2F"/>
    <w:rsid w:val="008608EE"/>
    <w:rsid w:val="00860B07"/>
    <w:rsid w:val="008616F6"/>
    <w:rsid w:val="0086259C"/>
    <w:rsid w:val="008674ED"/>
    <w:rsid w:val="00867E47"/>
    <w:rsid w:val="0087074C"/>
    <w:rsid w:val="00872ED3"/>
    <w:rsid w:val="00883F24"/>
    <w:rsid w:val="00897E1F"/>
    <w:rsid w:val="008A3E8E"/>
    <w:rsid w:val="008B2CB4"/>
    <w:rsid w:val="008B3D82"/>
    <w:rsid w:val="008B4654"/>
    <w:rsid w:val="008B4A34"/>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334E"/>
    <w:rsid w:val="00964625"/>
    <w:rsid w:val="00980937"/>
    <w:rsid w:val="00981C1D"/>
    <w:rsid w:val="0099109C"/>
    <w:rsid w:val="009936DB"/>
    <w:rsid w:val="00993CFC"/>
    <w:rsid w:val="00995D3D"/>
    <w:rsid w:val="009A1DC2"/>
    <w:rsid w:val="009A5EEA"/>
    <w:rsid w:val="009B0906"/>
    <w:rsid w:val="009B38F2"/>
    <w:rsid w:val="009B7433"/>
    <w:rsid w:val="009C0914"/>
    <w:rsid w:val="009C27E5"/>
    <w:rsid w:val="009C67E3"/>
    <w:rsid w:val="009D24A1"/>
    <w:rsid w:val="009D3891"/>
    <w:rsid w:val="009D5A52"/>
    <w:rsid w:val="009D71E8"/>
    <w:rsid w:val="009E104B"/>
    <w:rsid w:val="009E7DE4"/>
    <w:rsid w:val="009F3BBD"/>
    <w:rsid w:val="00A022AB"/>
    <w:rsid w:val="00A063DD"/>
    <w:rsid w:val="00A112B5"/>
    <w:rsid w:val="00A14EEA"/>
    <w:rsid w:val="00A33636"/>
    <w:rsid w:val="00A35EF3"/>
    <w:rsid w:val="00A44FBB"/>
    <w:rsid w:val="00A50104"/>
    <w:rsid w:val="00A522E0"/>
    <w:rsid w:val="00A52823"/>
    <w:rsid w:val="00A6047C"/>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E4365"/>
    <w:rsid w:val="00AF2A1F"/>
    <w:rsid w:val="00AF5E20"/>
    <w:rsid w:val="00B002FA"/>
    <w:rsid w:val="00B00327"/>
    <w:rsid w:val="00B024B3"/>
    <w:rsid w:val="00B11DE8"/>
    <w:rsid w:val="00B179ED"/>
    <w:rsid w:val="00B20E18"/>
    <w:rsid w:val="00B331E1"/>
    <w:rsid w:val="00B572C4"/>
    <w:rsid w:val="00B60858"/>
    <w:rsid w:val="00B74D4E"/>
    <w:rsid w:val="00B80219"/>
    <w:rsid w:val="00B87184"/>
    <w:rsid w:val="00B904B7"/>
    <w:rsid w:val="00B91453"/>
    <w:rsid w:val="00B953A9"/>
    <w:rsid w:val="00BA0637"/>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019"/>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CD506B"/>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DF653E"/>
    <w:rsid w:val="00E061EC"/>
    <w:rsid w:val="00E10E81"/>
    <w:rsid w:val="00E13E51"/>
    <w:rsid w:val="00E21F56"/>
    <w:rsid w:val="00E3014F"/>
    <w:rsid w:val="00E4286E"/>
    <w:rsid w:val="00E43EAD"/>
    <w:rsid w:val="00E44AA8"/>
    <w:rsid w:val="00E62DCB"/>
    <w:rsid w:val="00E651DD"/>
    <w:rsid w:val="00E66558"/>
    <w:rsid w:val="00E70D81"/>
    <w:rsid w:val="00E726A6"/>
    <w:rsid w:val="00E73418"/>
    <w:rsid w:val="00E8109E"/>
    <w:rsid w:val="00E86F05"/>
    <w:rsid w:val="00EA3A2A"/>
    <w:rsid w:val="00EB4556"/>
    <w:rsid w:val="00EB64C8"/>
    <w:rsid w:val="00EC0953"/>
    <w:rsid w:val="00ED4136"/>
    <w:rsid w:val="00ED5108"/>
    <w:rsid w:val="00ED5187"/>
    <w:rsid w:val="00ED6AE8"/>
    <w:rsid w:val="00EE2CB2"/>
    <w:rsid w:val="00EE4F9B"/>
    <w:rsid w:val="00EF4E1E"/>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57AA"/>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389499356">
      <w:bodyDiv w:val="1"/>
      <w:marLeft w:val="0"/>
      <w:marRight w:val="0"/>
      <w:marTop w:val="0"/>
      <w:marBottom w:val="0"/>
      <w:divBdr>
        <w:top w:val="none" w:sz="0" w:space="0" w:color="auto"/>
        <w:left w:val="none" w:sz="0" w:space="0" w:color="auto"/>
        <w:bottom w:val="none" w:sz="0" w:space="0" w:color="auto"/>
        <w:right w:val="none" w:sz="0" w:space="0" w:color="auto"/>
      </w:divBdr>
    </w:div>
    <w:div w:id="752775913">
      <w:bodyDiv w:val="1"/>
      <w:marLeft w:val="0"/>
      <w:marRight w:val="0"/>
      <w:marTop w:val="0"/>
      <w:marBottom w:val="0"/>
      <w:divBdr>
        <w:top w:val="none" w:sz="0" w:space="0" w:color="auto"/>
        <w:left w:val="none" w:sz="0" w:space="0" w:color="auto"/>
        <w:bottom w:val="none" w:sz="0" w:space="0" w:color="auto"/>
        <w:right w:val="none" w:sz="0" w:space="0" w:color="auto"/>
      </w:divBdr>
    </w:div>
    <w:div w:id="831801970">
      <w:bodyDiv w:val="1"/>
      <w:marLeft w:val="0"/>
      <w:marRight w:val="0"/>
      <w:marTop w:val="0"/>
      <w:marBottom w:val="0"/>
      <w:divBdr>
        <w:top w:val="none" w:sz="0" w:space="0" w:color="auto"/>
        <w:left w:val="none" w:sz="0" w:space="0" w:color="auto"/>
        <w:bottom w:val="none" w:sz="0" w:space="0" w:color="auto"/>
        <w:right w:val="none" w:sz="0" w:space="0" w:color="auto"/>
      </w:divBdr>
    </w:div>
    <w:div w:id="1553148577">
      <w:bodyDiv w:val="1"/>
      <w:marLeft w:val="0"/>
      <w:marRight w:val="0"/>
      <w:marTop w:val="0"/>
      <w:marBottom w:val="0"/>
      <w:divBdr>
        <w:top w:val="none" w:sz="0" w:space="0" w:color="auto"/>
        <w:left w:val="none" w:sz="0" w:space="0" w:color="auto"/>
        <w:bottom w:val="none" w:sz="0" w:space="0" w:color="auto"/>
        <w:right w:val="none" w:sz="0" w:space="0" w:color="auto"/>
      </w:divBdr>
    </w:div>
    <w:div w:id="201406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production/documents/news/Diagnostic_Assessment_Tool.pdf?v=1699001551" TargetMode="External"/><Relationship Id="rId13" Type="http://schemas.openxmlformats.org/officeDocument/2006/relationships/hyperlink" Target="https://www.theschoolpsychologyservice.com/what-works/thinkingreading/"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settings" Target="settings.xml"/><Relationship Id="rId21" Type="http://schemas.openxmlformats.org/officeDocument/2006/relationships/hyperlink" Target="https://www.gov.uk/government/publications/working-together-to-improve-school-attendance" TargetMode="External"/><Relationship Id="rId7" Type="http://schemas.openxmlformats.org/officeDocument/2006/relationships/hyperlink" Target="https://assets.publishing.service.gov.uk/media/6425a1002fa848000cec105f/Using_pupil_premium_guidance_for_school_leaders.pdf" TargetMode="External"/><Relationship Id="rId12" Type="http://schemas.openxmlformats.org/officeDocument/2006/relationships/hyperlink" Target="https://www.thinkingreading.com/"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projects-and-evaluation/projects/accelerated-reader/"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documents/guidance-for-teachers/pupil-premium/Pupil_Premium_menu_evidence_brief.pdf.pdf?v=164943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tchup.org/interventions/numeracy.php" TargetMode="External"/><Relationship Id="rId23" Type="http://schemas.openxmlformats.org/officeDocument/2006/relationships/footer" Target="footer1.xm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evidence-summaries/teaching-learning-toolkit/one-to-one-tuition/"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allocations-and-conditions-of-grant-2023-to-2024/pupil-premium-2023-to-2024-conditions-of-grant-for-academies-and-free-schools" TargetMode="External"/><Relationship Id="rId14" Type="http://schemas.openxmlformats.org/officeDocument/2006/relationships/hyperlink" Target="https://www.catchup.org/interventions/numeracy.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D.Barron</cp:lastModifiedBy>
  <cp:revision>13</cp:revision>
  <cp:lastPrinted>2023-11-09T07:41:00Z</cp:lastPrinted>
  <dcterms:created xsi:type="dcterms:W3CDTF">2023-11-21T11:19:00Z</dcterms:created>
  <dcterms:modified xsi:type="dcterms:W3CDTF">2023-12-06T09:44:00Z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