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0E456" w14:textId="3011503A" w:rsidR="0097333D" w:rsidRDefault="00290C74" w:rsidP="0097333D">
      <w:pPr>
        <w:pStyle w:val="PlainText"/>
        <w:rPr>
          <w:rFonts w:ascii="Times New Roman" w:hAnsi="Times New Roman"/>
          <w:sz w:val="22"/>
          <w:szCs w:val="24"/>
        </w:rPr>
      </w:pPr>
      <w:bookmarkStart w:id="0" w:name="_GoBack"/>
      <w:bookmarkEnd w:id="0"/>
      <w:r>
        <w:rPr>
          <w:rFonts w:ascii="Times New Roman" w:hAnsi="Times New Roman"/>
          <w:sz w:val="22"/>
          <w:szCs w:val="24"/>
        </w:rPr>
        <w:t>27</w:t>
      </w:r>
      <w:r w:rsidRPr="00290C74">
        <w:rPr>
          <w:rFonts w:ascii="Times New Roman" w:hAnsi="Times New Roman"/>
          <w:sz w:val="22"/>
          <w:szCs w:val="24"/>
          <w:vertAlign w:val="superscript"/>
        </w:rPr>
        <w:t>th</w:t>
      </w:r>
      <w:r>
        <w:rPr>
          <w:rFonts w:ascii="Times New Roman" w:hAnsi="Times New Roman"/>
          <w:sz w:val="22"/>
          <w:szCs w:val="24"/>
        </w:rPr>
        <w:t xml:space="preserve"> November 2020</w:t>
      </w:r>
      <w:r w:rsidR="0097333D">
        <w:rPr>
          <w:rFonts w:ascii="Times New Roman" w:hAnsi="Times New Roman"/>
          <w:sz w:val="22"/>
          <w:szCs w:val="24"/>
        </w:rPr>
        <w:tab/>
      </w:r>
    </w:p>
    <w:p w14:paraId="01F47D4E" w14:textId="77777777" w:rsidR="0097333D" w:rsidRDefault="0097333D" w:rsidP="0097333D">
      <w:pPr>
        <w:pStyle w:val="PlainText"/>
        <w:rPr>
          <w:rFonts w:ascii="Times New Roman" w:hAnsi="Times New Roman"/>
          <w:sz w:val="22"/>
          <w:szCs w:val="24"/>
        </w:rPr>
      </w:pPr>
    </w:p>
    <w:p w14:paraId="1B77C672" w14:textId="77777777" w:rsidR="0097333D" w:rsidRDefault="0097333D" w:rsidP="0097333D">
      <w:pPr>
        <w:tabs>
          <w:tab w:val="left" w:pos="7650"/>
        </w:tabs>
        <w:ind w:right="27"/>
        <w:rPr>
          <w:szCs w:val="24"/>
        </w:rPr>
      </w:pPr>
      <w:r>
        <w:rPr>
          <w:szCs w:val="24"/>
        </w:rPr>
        <w:t>Our ref:  S627/CS/K-AJ-S/CJ</w:t>
      </w:r>
    </w:p>
    <w:p w14:paraId="5D04C43A" w14:textId="77777777" w:rsidR="0097333D" w:rsidRDefault="0097333D" w:rsidP="0097333D">
      <w:pPr>
        <w:rPr>
          <w:szCs w:val="24"/>
        </w:rPr>
      </w:pPr>
    </w:p>
    <w:p w14:paraId="1AE8DA7C" w14:textId="77777777" w:rsidR="0097333D" w:rsidRDefault="0097333D" w:rsidP="0097333D">
      <w:pPr>
        <w:tabs>
          <w:tab w:val="left" w:pos="7650"/>
        </w:tabs>
        <w:ind w:right="27"/>
        <w:rPr>
          <w:b/>
          <w:szCs w:val="24"/>
        </w:rPr>
      </w:pPr>
      <w:r>
        <w:rPr>
          <w:b/>
          <w:szCs w:val="24"/>
        </w:rPr>
        <w:t>Private &amp; Confidential</w:t>
      </w:r>
    </w:p>
    <w:p w14:paraId="721292B9" w14:textId="77777777" w:rsidR="0097333D" w:rsidRDefault="0097333D" w:rsidP="0097333D">
      <w:pPr>
        <w:tabs>
          <w:tab w:val="left" w:pos="7650"/>
        </w:tabs>
        <w:ind w:right="27"/>
        <w:rPr>
          <w:szCs w:val="24"/>
        </w:rPr>
      </w:pPr>
      <w:r>
        <w:rPr>
          <w:szCs w:val="24"/>
        </w:rPr>
        <w:t>The Governors</w:t>
      </w:r>
    </w:p>
    <w:p w14:paraId="4D93AE94" w14:textId="77777777" w:rsidR="0097333D" w:rsidRDefault="0097333D" w:rsidP="0097333D">
      <w:pPr>
        <w:tabs>
          <w:tab w:val="left" w:pos="5400"/>
          <w:tab w:val="right" w:pos="9000"/>
        </w:tabs>
        <w:rPr>
          <w:szCs w:val="24"/>
        </w:rPr>
      </w:pPr>
      <w:r>
        <w:rPr>
          <w:szCs w:val="24"/>
        </w:rPr>
        <w:t>Shenfield High School</w:t>
      </w:r>
    </w:p>
    <w:p w14:paraId="359D48D8" w14:textId="77777777" w:rsidR="0097333D" w:rsidRDefault="0097333D" w:rsidP="0097333D">
      <w:pPr>
        <w:tabs>
          <w:tab w:val="left" w:pos="5400"/>
          <w:tab w:val="right" w:pos="9000"/>
        </w:tabs>
        <w:rPr>
          <w:szCs w:val="24"/>
        </w:rPr>
      </w:pPr>
      <w:r>
        <w:rPr>
          <w:szCs w:val="24"/>
        </w:rPr>
        <w:t>Alexander Lane, Shenfield</w:t>
      </w:r>
    </w:p>
    <w:p w14:paraId="6E006194" w14:textId="77777777" w:rsidR="0097333D" w:rsidRDefault="0097333D" w:rsidP="0097333D">
      <w:pPr>
        <w:tabs>
          <w:tab w:val="left" w:pos="5400"/>
          <w:tab w:val="right" w:pos="9000"/>
        </w:tabs>
        <w:rPr>
          <w:szCs w:val="24"/>
        </w:rPr>
      </w:pPr>
      <w:r>
        <w:rPr>
          <w:szCs w:val="24"/>
        </w:rPr>
        <w:t>Brentwood</w:t>
      </w:r>
    </w:p>
    <w:p w14:paraId="1FAC662D" w14:textId="77777777" w:rsidR="0097333D" w:rsidRDefault="0097333D" w:rsidP="0097333D">
      <w:pPr>
        <w:tabs>
          <w:tab w:val="left" w:pos="5400"/>
          <w:tab w:val="right" w:pos="9000"/>
        </w:tabs>
        <w:rPr>
          <w:szCs w:val="24"/>
        </w:rPr>
      </w:pPr>
      <w:r>
        <w:rPr>
          <w:szCs w:val="24"/>
        </w:rPr>
        <w:t>Essex CM15 8RY</w:t>
      </w:r>
    </w:p>
    <w:p w14:paraId="33D8861E" w14:textId="77777777" w:rsidR="0097333D" w:rsidRDefault="0097333D" w:rsidP="0097333D">
      <w:pPr>
        <w:tabs>
          <w:tab w:val="left" w:pos="284"/>
          <w:tab w:val="left" w:pos="7938"/>
        </w:tabs>
        <w:ind w:right="27"/>
        <w:jc w:val="both"/>
        <w:rPr>
          <w:szCs w:val="24"/>
        </w:rPr>
      </w:pPr>
    </w:p>
    <w:p w14:paraId="149E0877" w14:textId="77777777" w:rsidR="0097333D" w:rsidRDefault="0097333D" w:rsidP="0097333D">
      <w:pPr>
        <w:tabs>
          <w:tab w:val="left" w:pos="284"/>
          <w:tab w:val="left" w:pos="7938"/>
        </w:tabs>
        <w:ind w:right="27"/>
        <w:jc w:val="both"/>
        <w:rPr>
          <w:szCs w:val="24"/>
        </w:rPr>
      </w:pPr>
      <w:r>
        <w:rPr>
          <w:szCs w:val="24"/>
        </w:rPr>
        <w:t>Dear Sirs</w:t>
      </w:r>
    </w:p>
    <w:p w14:paraId="0DB76F5C" w14:textId="77777777" w:rsidR="00482709" w:rsidRPr="00B96B53" w:rsidRDefault="00482709" w:rsidP="00482709">
      <w:pPr>
        <w:pStyle w:val="PlainText"/>
        <w:rPr>
          <w:rFonts w:ascii="Times New Roman" w:hAnsi="Times New Roman"/>
          <w:b/>
          <w:sz w:val="22"/>
          <w:szCs w:val="24"/>
        </w:rPr>
      </w:pPr>
    </w:p>
    <w:p w14:paraId="5137E3C1" w14:textId="77777777" w:rsidR="00482709" w:rsidRPr="00B96B53" w:rsidRDefault="00482709" w:rsidP="00482709">
      <w:pPr>
        <w:pStyle w:val="PlainText"/>
        <w:rPr>
          <w:rFonts w:ascii="Times New Roman" w:hAnsi="Times New Roman"/>
          <w:b/>
          <w:sz w:val="22"/>
          <w:szCs w:val="24"/>
        </w:rPr>
      </w:pPr>
      <w:r w:rsidRPr="00B96B53">
        <w:rPr>
          <w:rFonts w:ascii="Times New Roman" w:hAnsi="Times New Roman"/>
          <w:b/>
          <w:sz w:val="22"/>
          <w:szCs w:val="24"/>
        </w:rPr>
        <w:t>REPORT TO MANAGEMENT</w:t>
      </w:r>
    </w:p>
    <w:p w14:paraId="682939F4" w14:textId="77777777" w:rsidR="006006F4" w:rsidRPr="00B96B53" w:rsidRDefault="00F20925"/>
    <w:p w14:paraId="10A1337D" w14:textId="549A31C2" w:rsidR="00482709" w:rsidRPr="00B96B53" w:rsidRDefault="00482709" w:rsidP="00482709">
      <w:pPr>
        <w:pStyle w:val="PlainText"/>
        <w:jc w:val="both"/>
        <w:rPr>
          <w:rFonts w:ascii="Times New Roman" w:hAnsi="Times New Roman"/>
          <w:sz w:val="22"/>
          <w:szCs w:val="24"/>
        </w:rPr>
      </w:pPr>
      <w:r w:rsidRPr="00B96B53">
        <w:rPr>
          <w:rFonts w:ascii="Times New Roman" w:hAnsi="Times New Roman"/>
          <w:sz w:val="22"/>
          <w:szCs w:val="24"/>
        </w:rPr>
        <w:t>During the course of our audit and regularity assurance engagements for the year ended 31</w:t>
      </w:r>
      <w:r w:rsidRPr="00B96B53">
        <w:rPr>
          <w:rFonts w:ascii="Times New Roman" w:hAnsi="Times New Roman"/>
          <w:sz w:val="22"/>
          <w:szCs w:val="24"/>
          <w:vertAlign w:val="superscript"/>
        </w:rPr>
        <w:t>st</w:t>
      </w:r>
      <w:r w:rsidRPr="00B96B53">
        <w:rPr>
          <w:rFonts w:ascii="Times New Roman" w:hAnsi="Times New Roman"/>
          <w:sz w:val="22"/>
          <w:szCs w:val="24"/>
        </w:rPr>
        <w:t xml:space="preserve"> August 20</w:t>
      </w:r>
      <w:r w:rsidR="002E70C1">
        <w:rPr>
          <w:rFonts w:ascii="Times New Roman" w:hAnsi="Times New Roman"/>
          <w:sz w:val="22"/>
          <w:szCs w:val="24"/>
        </w:rPr>
        <w:t>20</w:t>
      </w:r>
      <w:r w:rsidRPr="00B96B53">
        <w:rPr>
          <w:rFonts w:ascii="Times New Roman" w:hAnsi="Times New Roman"/>
          <w:sz w:val="22"/>
          <w:szCs w:val="24"/>
        </w:rPr>
        <w:t xml:space="preserve"> a number of matters arose which although we </w:t>
      </w:r>
      <w:r w:rsidRPr="00B96B53">
        <w:rPr>
          <w:rFonts w:ascii="Times New Roman" w:hAnsi="Times New Roman"/>
          <w:b/>
          <w:sz w:val="22"/>
          <w:szCs w:val="24"/>
        </w:rPr>
        <w:t>do not</w:t>
      </w:r>
      <w:r w:rsidRPr="00B96B53">
        <w:rPr>
          <w:rFonts w:ascii="Times New Roman" w:hAnsi="Times New Roman"/>
          <w:sz w:val="22"/>
          <w:szCs w:val="24"/>
        </w:rPr>
        <w:t xml:space="preserve"> consider to be significant (as defined under ISA </w:t>
      </w:r>
      <w:r w:rsidR="00E13C78" w:rsidRPr="00B96B53">
        <w:rPr>
          <w:rFonts w:ascii="Times New Roman" w:hAnsi="Times New Roman"/>
          <w:sz w:val="22"/>
          <w:szCs w:val="24"/>
        </w:rPr>
        <w:t xml:space="preserve">265) </w:t>
      </w:r>
      <w:r w:rsidRPr="00B96B53">
        <w:rPr>
          <w:rFonts w:ascii="Times New Roman" w:hAnsi="Times New Roman"/>
          <w:sz w:val="22"/>
          <w:szCs w:val="24"/>
        </w:rPr>
        <w:t xml:space="preserve">we </w:t>
      </w:r>
      <w:r w:rsidR="00E13C78" w:rsidRPr="00B96B53">
        <w:rPr>
          <w:rFonts w:ascii="Times New Roman" w:hAnsi="Times New Roman"/>
          <w:sz w:val="22"/>
          <w:szCs w:val="24"/>
        </w:rPr>
        <w:t>are</w:t>
      </w:r>
      <w:r w:rsidR="0045437A">
        <w:rPr>
          <w:rFonts w:ascii="Times New Roman" w:hAnsi="Times New Roman"/>
          <w:sz w:val="22"/>
          <w:szCs w:val="24"/>
        </w:rPr>
        <w:t xml:space="preserve"> however</w:t>
      </w:r>
      <w:r w:rsidR="00E13C78" w:rsidRPr="00B96B53">
        <w:rPr>
          <w:rFonts w:ascii="Times New Roman" w:hAnsi="Times New Roman"/>
          <w:sz w:val="22"/>
          <w:szCs w:val="24"/>
        </w:rPr>
        <w:t xml:space="preserve"> bringing</w:t>
      </w:r>
      <w:r w:rsidR="0045437A">
        <w:rPr>
          <w:rFonts w:ascii="Times New Roman" w:hAnsi="Times New Roman"/>
          <w:sz w:val="22"/>
          <w:szCs w:val="24"/>
        </w:rPr>
        <w:t xml:space="preserve"> the below</w:t>
      </w:r>
      <w:r w:rsidRPr="00B96B53">
        <w:rPr>
          <w:rFonts w:ascii="Times New Roman" w:hAnsi="Times New Roman"/>
          <w:sz w:val="22"/>
          <w:szCs w:val="24"/>
        </w:rPr>
        <w:t xml:space="preserve"> to your attention</w:t>
      </w:r>
      <w:r w:rsidR="00E13C78" w:rsidRPr="00B96B53">
        <w:rPr>
          <w:rFonts w:ascii="Times New Roman" w:hAnsi="Times New Roman"/>
          <w:sz w:val="22"/>
          <w:szCs w:val="24"/>
        </w:rPr>
        <w:t xml:space="preserve"> for consideration</w:t>
      </w:r>
      <w:r w:rsidRPr="00B96B53">
        <w:rPr>
          <w:rFonts w:ascii="Times New Roman" w:hAnsi="Times New Roman"/>
          <w:sz w:val="22"/>
          <w:szCs w:val="24"/>
        </w:rPr>
        <w:t>.</w:t>
      </w:r>
    </w:p>
    <w:p w14:paraId="134100D4" w14:textId="77777777" w:rsidR="00482709" w:rsidRPr="00B96B53" w:rsidRDefault="00482709" w:rsidP="00482709">
      <w:pPr>
        <w:pStyle w:val="PlainText"/>
        <w:jc w:val="both"/>
        <w:rPr>
          <w:rFonts w:ascii="Times New Roman" w:hAnsi="Times New Roman"/>
          <w:sz w:val="22"/>
          <w:szCs w:val="24"/>
        </w:rPr>
      </w:pPr>
    </w:p>
    <w:p w14:paraId="3FC98441" w14:textId="77777777" w:rsidR="00482709" w:rsidRPr="0045437A" w:rsidRDefault="0045437A" w:rsidP="00B96B53">
      <w:pPr>
        <w:pStyle w:val="PlainText"/>
        <w:jc w:val="both"/>
        <w:rPr>
          <w:rFonts w:ascii="Times New Roman" w:hAnsi="Times New Roman"/>
          <w:sz w:val="22"/>
          <w:szCs w:val="22"/>
        </w:rPr>
      </w:pPr>
      <w:r>
        <w:rPr>
          <w:rFonts w:ascii="Times New Roman" w:hAnsi="Times New Roman"/>
          <w:sz w:val="22"/>
          <w:szCs w:val="24"/>
        </w:rPr>
        <w:t>Enclosed</w:t>
      </w:r>
      <w:r w:rsidR="00482709" w:rsidRPr="00B96B53">
        <w:rPr>
          <w:rFonts w:ascii="Times New Roman" w:hAnsi="Times New Roman"/>
          <w:sz w:val="22"/>
          <w:szCs w:val="24"/>
        </w:rPr>
        <w:t xml:space="preserve"> is a memorandum noting these </w:t>
      </w:r>
      <w:r w:rsidR="00B96B53" w:rsidRPr="00B96B53">
        <w:rPr>
          <w:rFonts w:ascii="Times New Roman" w:hAnsi="Times New Roman"/>
          <w:sz w:val="22"/>
          <w:szCs w:val="24"/>
        </w:rPr>
        <w:t>points</w:t>
      </w:r>
      <w:r w:rsidR="00834873">
        <w:rPr>
          <w:rFonts w:ascii="Times New Roman" w:hAnsi="Times New Roman"/>
          <w:sz w:val="22"/>
          <w:szCs w:val="24"/>
        </w:rPr>
        <w:t>,</w:t>
      </w:r>
      <w:r w:rsidR="00B96B53" w:rsidRPr="00B96B53">
        <w:rPr>
          <w:rFonts w:ascii="Times New Roman" w:hAnsi="Times New Roman"/>
          <w:sz w:val="22"/>
          <w:szCs w:val="24"/>
        </w:rPr>
        <w:t xml:space="preserve"> t</w:t>
      </w:r>
      <w:r w:rsidR="00482709" w:rsidRPr="00B96B53">
        <w:rPr>
          <w:rFonts w:ascii="Times New Roman" w:hAnsi="Times New Roman"/>
          <w:sz w:val="22"/>
          <w:szCs w:val="24"/>
        </w:rPr>
        <w:t xml:space="preserve">hese matters came to light during the course of our normal audit and assurance tests which are designed to assist us in forming our opinion on the financial statements and providing a limited assurance conclusion on regularity.  Our tests may not necessarily disclose all errors or irregularities and should not be relied upon to do so. </w:t>
      </w:r>
      <w:r w:rsidR="00E13C78" w:rsidRPr="0045437A">
        <w:rPr>
          <w:rFonts w:ascii="Times New Roman" w:hAnsi="Times New Roman"/>
          <w:sz w:val="22"/>
          <w:szCs w:val="22"/>
        </w:rPr>
        <w:t>Matters we consider significant are not also reported here but are included within our audit findings letter which is addressed to the Trustees of the Academy Trust.</w:t>
      </w:r>
      <w:r w:rsidR="00482709" w:rsidRPr="0045437A">
        <w:rPr>
          <w:rFonts w:ascii="Times New Roman" w:hAnsi="Times New Roman"/>
          <w:sz w:val="22"/>
          <w:szCs w:val="22"/>
        </w:rPr>
        <w:t xml:space="preserve"> </w:t>
      </w:r>
    </w:p>
    <w:p w14:paraId="30E39724" w14:textId="77777777" w:rsidR="00E13C78" w:rsidRPr="00B96B53" w:rsidRDefault="00E13C78" w:rsidP="00482709">
      <w:pPr>
        <w:rPr>
          <w:szCs w:val="24"/>
        </w:rPr>
      </w:pPr>
    </w:p>
    <w:p w14:paraId="262A1EA4" w14:textId="77777777" w:rsidR="00E13C78" w:rsidRDefault="00E13C78" w:rsidP="00E13C78">
      <w:pPr>
        <w:pStyle w:val="PlainText"/>
        <w:jc w:val="both"/>
        <w:rPr>
          <w:rFonts w:ascii="Times New Roman" w:hAnsi="Times New Roman"/>
          <w:sz w:val="22"/>
          <w:szCs w:val="24"/>
        </w:rPr>
      </w:pPr>
      <w:r w:rsidRPr="00B96B53">
        <w:rPr>
          <w:rFonts w:ascii="Times New Roman" w:hAnsi="Times New Roman"/>
          <w:sz w:val="22"/>
          <w:szCs w:val="24"/>
        </w:rPr>
        <w:t xml:space="preserve">This </w:t>
      </w:r>
      <w:r w:rsidR="00B96B53" w:rsidRPr="00B96B53">
        <w:rPr>
          <w:rFonts w:ascii="Times New Roman" w:hAnsi="Times New Roman"/>
          <w:sz w:val="22"/>
          <w:szCs w:val="24"/>
        </w:rPr>
        <w:t>letter</w:t>
      </w:r>
      <w:r w:rsidRPr="00B96B53">
        <w:rPr>
          <w:rFonts w:ascii="Times New Roman" w:hAnsi="Times New Roman"/>
          <w:sz w:val="22"/>
          <w:szCs w:val="24"/>
        </w:rPr>
        <w:t xml:space="preserve"> has been prepared for the sole use of the Management of</w:t>
      </w:r>
      <w:r w:rsidR="00135A3B">
        <w:rPr>
          <w:rFonts w:ascii="Times New Roman" w:hAnsi="Times New Roman"/>
          <w:sz w:val="22"/>
          <w:szCs w:val="24"/>
        </w:rPr>
        <w:t xml:space="preserve"> Shenfield High School</w:t>
      </w:r>
      <w:r w:rsidRPr="00B96B53">
        <w:rPr>
          <w:rFonts w:ascii="Times New Roman" w:hAnsi="Times New Roman"/>
          <w:sz w:val="22"/>
          <w:szCs w:val="24"/>
        </w:rPr>
        <w:t xml:space="preserve">. No </w:t>
      </w:r>
      <w:proofErr w:type="gramStart"/>
      <w:r w:rsidRPr="00B96B53">
        <w:rPr>
          <w:rFonts w:ascii="Times New Roman" w:hAnsi="Times New Roman"/>
          <w:sz w:val="22"/>
          <w:szCs w:val="24"/>
        </w:rPr>
        <w:t xml:space="preserve">copies </w:t>
      </w:r>
      <w:r w:rsidR="005569AD">
        <w:rPr>
          <w:rFonts w:ascii="Times New Roman" w:hAnsi="Times New Roman"/>
          <w:sz w:val="22"/>
          <w:szCs w:val="24"/>
        </w:rPr>
        <w:t xml:space="preserve"> </w:t>
      </w:r>
      <w:r w:rsidRPr="00B96B53">
        <w:rPr>
          <w:rFonts w:ascii="Times New Roman" w:hAnsi="Times New Roman"/>
          <w:sz w:val="22"/>
          <w:szCs w:val="24"/>
        </w:rPr>
        <w:t>of</w:t>
      </w:r>
      <w:proofErr w:type="gramEnd"/>
      <w:r w:rsidRPr="00B96B53">
        <w:rPr>
          <w:rFonts w:ascii="Times New Roman" w:hAnsi="Times New Roman"/>
          <w:sz w:val="22"/>
          <w:szCs w:val="24"/>
        </w:rPr>
        <w:t xml:space="preserve"> this letter may be provided to third parties without our prior consent.  Consent is, and will only be, granted on the basis that such copies are not distributed with the interests of anyone other than the academy in mind and that we accept no duty or responsibility to any other party.  No responsibilities are accepted by MWS towards any party acting or refraining from action as a result of this </w:t>
      </w:r>
      <w:r w:rsidR="00B96B53" w:rsidRPr="00B96B53">
        <w:rPr>
          <w:rFonts w:ascii="Times New Roman" w:hAnsi="Times New Roman"/>
          <w:sz w:val="22"/>
          <w:szCs w:val="24"/>
        </w:rPr>
        <w:t>letter</w:t>
      </w:r>
      <w:r w:rsidRPr="00B96B53">
        <w:rPr>
          <w:rFonts w:ascii="Times New Roman" w:hAnsi="Times New Roman"/>
          <w:sz w:val="22"/>
          <w:szCs w:val="24"/>
        </w:rPr>
        <w:t>.</w:t>
      </w:r>
    </w:p>
    <w:p w14:paraId="38E635E5" w14:textId="77777777" w:rsidR="005103BA" w:rsidRDefault="005103BA" w:rsidP="005103BA">
      <w:pPr>
        <w:pStyle w:val="PlainText"/>
        <w:jc w:val="both"/>
        <w:rPr>
          <w:rFonts w:ascii="Times New Roman" w:hAnsi="Times New Roman"/>
          <w:sz w:val="22"/>
          <w:szCs w:val="24"/>
        </w:rPr>
      </w:pPr>
    </w:p>
    <w:tbl>
      <w:tblPr>
        <w:tblStyle w:val="TableGrid"/>
        <w:tblW w:w="0" w:type="auto"/>
        <w:tblLook w:val="04A0" w:firstRow="1" w:lastRow="0" w:firstColumn="1" w:lastColumn="0" w:noHBand="0" w:noVBand="1"/>
      </w:tblPr>
      <w:tblGrid>
        <w:gridCol w:w="2477"/>
        <w:gridCol w:w="15"/>
        <w:gridCol w:w="6524"/>
      </w:tblGrid>
      <w:tr w:rsidR="005103BA" w14:paraId="159604E1" w14:textId="77777777" w:rsidTr="00DC2C4D">
        <w:tc>
          <w:tcPr>
            <w:tcW w:w="2477" w:type="dxa"/>
          </w:tcPr>
          <w:p w14:paraId="72AE747F" w14:textId="77777777" w:rsidR="005103BA" w:rsidRPr="00B96B53" w:rsidRDefault="005103BA" w:rsidP="00947CE5">
            <w:pPr>
              <w:pStyle w:val="PlainText"/>
              <w:rPr>
                <w:rFonts w:ascii="Times New Roman" w:hAnsi="Times New Roman"/>
                <w:b/>
                <w:sz w:val="22"/>
                <w:szCs w:val="24"/>
              </w:rPr>
            </w:pPr>
            <w:r w:rsidRPr="00B96B53">
              <w:rPr>
                <w:rFonts w:ascii="Times New Roman" w:hAnsi="Times New Roman"/>
                <w:b/>
                <w:sz w:val="22"/>
                <w:szCs w:val="24"/>
              </w:rPr>
              <w:t>Area for consideration</w:t>
            </w:r>
            <w:r>
              <w:rPr>
                <w:rFonts w:ascii="Times New Roman" w:hAnsi="Times New Roman"/>
                <w:b/>
                <w:sz w:val="22"/>
                <w:szCs w:val="24"/>
              </w:rPr>
              <w:br/>
            </w:r>
          </w:p>
        </w:tc>
        <w:tc>
          <w:tcPr>
            <w:tcW w:w="6539" w:type="dxa"/>
            <w:gridSpan w:val="2"/>
          </w:tcPr>
          <w:p w14:paraId="29B811F7" w14:textId="77777777" w:rsidR="005103BA" w:rsidRPr="00B96B53" w:rsidRDefault="005103BA" w:rsidP="00947CE5">
            <w:pPr>
              <w:pStyle w:val="PlainText"/>
              <w:jc w:val="both"/>
              <w:rPr>
                <w:rFonts w:ascii="Times New Roman" w:hAnsi="Times New Roman"/>
                <w:b/>
                <w:sz w:val="22"/>
                <w:szCs w:val="24"/>
              </w:rPr>
            </w:pPr>
            <w:r w:rsidRPr="00B96B53">
              <w:rPr>
                <w:rFonts w:ascii="Times New Roman" w:hAnsi="Times New Roman"/>
                <w:b/>
                <w:sz w:val="22"/>
                <w:szCs w:val="24"/>
              </w:rPr>
              <w:t>Details</w:t>
            </w:r>
          </w:p>
        </w:tc>
      </w:tr>
      <w:tr w:rsidR="005103BA" w14:paraId="0E0BB10B" w14:textId="77777777" w:rsidTr="00DC2C4D">
        <w:tc>
          <w:tcPr>
            <w:tcW w:w="2477" w:type="dxa"/>
          </w:tcPr>
          <w:p w14:paraId="3745DE8A" w14:textId="77777777" w:rsidR="005103BA" w:rsidRDefault="005103BA" w:rsidP="00947CE5">
            <w:pPr>
              <w:pStyle w:val="PlainText"/>
              <w:jc w:val="both"/>
              <w:rPr>
                <w:rFonts w:ascii="Times New Roman" w:hAnsi="Times New Roman"/>
                <w:sz w:val="22"/>
                <w:szCs w:val="24"/>
              </w:rPr>
            </w:pPr>
            <w:r>
              <w:rPr>
                <w:rFonts w:ascii="Times New Roman" w:hAnsi="Times New Roman"/>
                <w:sz w:val="22"/>
                <w:szCs w:val="24"/>
              </w:rPr>
              <w:t>Component accounting</w:t>
            </w:r>
          </w:p>
        </w:tc>
        <w:tc>
          <w:tcPr>
            <w:tcW w:w="6539" w:type="dxa"/>
            <w:gridSpan w:val="2"/>
          </w:tcPr>
          <w:p w14:paraId="0E7733D2" w14:textId="77777777" w:rsidR="005103BA" w:rsidRDefault="005103BA" w:rsidP="00947CE5">
            <w:pPr>
              <w:pStyle w:val="PlainText"/>
              <w:jc w:val="both"/>
              <w:rPr>
                <w:rFonts w:ascii="Times New Roman" w:hAnsi="Times New Roman"/>
                <w:sz w:val="22"/>
                <w:szCs w:val="24"/>
              </w:rPr>
            </w:pPr>
            <w:r w:rsidRPr="00B96B53">
              <w:rPr>
                <w:rFonts w:ascii="Times New Roman" w:hAnsi="Times New Roman"/>
                <w:sz w:val="22"/>
                <w:szCs w:val="24"/>
              </w:rPr>
              <w:t>The Trust hasn</w:t>
            </w:r>
            <w:r>
              <w:rPr>
                <w:rFonts w:ascii="Times New Roman" w:hAnsi="Times New Roman"/>
                <w:sz w:val="22"/>
                <w:szCs w:val="24"/>
              </w:rPr>
              <w:t>’</w:t>
            </w:r>
            <w:r w:rsidRPr="00B96B53">
              <w:rPr>
                <w:rFonts w:ascii="Times New Roman" w:hAnsi="Times New Roman"/>
                <w:sz w:val="22"/>
                <w:szCs w:val="24"/>
              </w:rPr>
              <w:t>t considered component accounting for different assets</w:t>
            </w:r>
            <w:r>
              <w:rPr>
                <w:rFonts w:ascii="Times New Roman" w:hAnsi="Times New Roman"/>
                <w:sz w:val="22"/>
                <w:szCs w:val="24"/>
              </w:rPr>
              <w:t xml:space="preserve"> of a similar nature</w:t>
            </w:r>
            <w:r w:rsidRPr="00B96B53">
              <w:rPr>
                <w:rFonts w:ascii="Times New Roman" w:hAnsi="Times New Roman"/>
                <w:sz w:val="22"/>
                <w:szCs w:val="24"/>
              </w:rPr>
              <w:t xml:space="preserve"> within the Trust. </w:t>
            </w:r>
            <w:r>
              <w:rPr>
                <w:rFonts w:ascii="Times New Roman" w:hAnsi="Times New Roman"/>
                <w:sz w:val="22"/>
                <w:szCs w:val="24"/>
              </w:rPr>
              <w:t>Adjustments are</w:t>
            </w:r>
            <w:r w:rsidRPr="00B96B53">
              <w:rPr>
                <w:rFonts w:ascii="Times New Roman" w:hAnsi="Times New Roman"/>
                <w:sz w:val="22"/>
                <w:szCs w:val="24"/>
              </w:rPr>
              <w:t xml:space="preserve"> not likely to result in a material </w:t>
            </w:r>
            <w:r>
              <w:rPr>
                <w:rFonts w:ascii="Times New Roman" w:hAnsi="Times New Roman"/>
                <w:sz w:val="22"/>
                <w:szCs w:val="24"/>
              </w:rPr>
              <w:t>adjustment</w:t>
            </w:r>
            <w:r w:rsidRPr="00B96B53">
              <w:rPr>
                <w:rFonts w:ascii="Times New Roman" w:hAnsi="Times New Roman"/>
                <w:sz w:val="22"/>
                <w:szCs w:val="24"/>
              </w:rPr>
              <w:t xml:space="preserve"> but would be a good time to consider</w:t>
            </w:r>
            <w:r>
              <w:rPr>
                <w:rFonts w:ascii="Times New Roman" w:hAnsi="Times New Roman"/>
                <w:sz w:val="22"/>
                <w:szCs w:val="24"/>
              </w:rPr>
              <w:t xml:space="preserve"> adjusting the accounting policies</w:t>
            </w:r>
            <w:r w:rsidRPr="00B96B53">
              <w:rPr>
                <w:rFonts w:ascii="Times New Roman" w:hAnsi="Times New Roman"/>
                <w:sz w:val="22"/>
                <w:szCs w:val="24"/>
              </w:rPr>
              <w:t>.</w:t>
            </w:r>
          </w:p>
        </w:tc>
      </w:tr>
      <w:tr w:rsidR="005103BA" w14:paraId="7BC1A4E9" w14:textId="77777777" w:rsidTr="00B503BB">
        <w:tc>
          <w:tcPr>
            <w:tcW w:w="2492" w:type="dxa"/>
            <w:gridSpan w:val="2"/>
          </w:tcPr>
          <w:p w14:paraId="7193BDD9" w14:textId="77777777" w:rsidR="005103BA" w:rsidRDefault="005103BA" w:rsidP="00947CE5">
            <w:pPr>
              <w:pStyle w:val="PlainText"/>
              <w:jc w:val="both"/>
              <w:rPr>
                <w:rFonts w:ascii="Times New Roman" w:hAnsi="Times New Roman"/>
                <w:sz w:val="22"/>
                <w:szCs w:val="24"/>
              </w:rPr>
            </w:pPr>
            <w:r>
              <w:br w:type="page"/>
            </w:r>
            <w:r w:rsidR="00B503BB">
              <w:rPr>
                <w:rFonts w:ascii="Times New Roman" w:hAnsi="Times New Roman"/>
                <w:sz w:val="22"/>
                <w:szCs w:val="24"/>
              </w:rPr>
              <w:t>Members/Trustees</w:t>
            </w:r>
          </w:p>
        </w:tc>
        <w:tc>
          <w:tcPr>
            <w:tcW w:w="6524" w:type="dxa"/>
          </w:tcPr>
          <w:p w14:paraId="4BE71947" w14:textId="77777777" w:rsidR="005103BA" w:rsidRDefault="00B503BB" w:rsidP="00947CE5">
            <w:pPr>
              <w:pStyle w:val="PlainText"/>
              <w:jc w:val="both"/>
              <w:rPr>
                <w:rFonts w:ascii="Times New Roman" w:hAnsi="Times New Roman"/>
                <w:sz w:val="22"/>
                <w:szCs w:val="24"/>
              </w:rPr>
            </w:pPr>
            <w:r>
              <w:rPr>
                <w:rFonts w:ascii="Times New Roman" w:hAnsi="Times New Roman"/>
                <w:sz w:val="22"/>
                <w:szCs w:val="24"/>
              </w:rPr>
              <w:t>ESFA’s current expectations of be</w:t>
            </w:r>
            <w:r w:rsidR="00765567">
              <w:rPr>
                <w:rFonts w:ascii="Times New Roman" w:hAnsi="Times New Roman"/>
                <w:sz w:val="22"/>
                <w:szCs w:val="24"/>
              </w:rPr>
              <w:t>st practise is that the role of</w:t>
            </w:r>
            <w:r>
              <w:rPr>
                <w:rFonts w:ascii="Times New Roman" w:hAnsi="Times New Roman"/>
                <w:sz w:val="22"/>
                <w:szCs w:val="24"/>
              </w:rPr>
              <w:t xml:space="preserve"> a Member and that of a Trustee should hold a significant degree of separation. It is recommended that an individual should decide which roles are best suited to them and resign from the other.</w:t>
            </w:r>
          </w:p>
        </w:tc>
      </w:tr>
      <w:tr w:rsidR="005569AD" w14:paraId="2C10CE7E" w14:textId="77777777" w:rsidTr="00B503BB">
        <w:tc>
          <w:tcPr>
            <w:tcW w:w="2492" w:type="dxa"/>
            <w:gridSpan w:val="2"/>
          </w:tcPr>
          <w:p w14:paraId="0E764CC6" w14:textId="77777777" w:rsidR="005569AD" w:rsidRPr="005569AD" w:rsidRDefault="005569AD" w:rsidP="00947CE5">
            <w:pPr>
              <w:pStyle w:val="PlainText"/>
              <w:jc w:val="both"/>
              <w:rPr>
                <w:rFonts w:ascii="Times New Roman" w:hAnsi="Times New Roman"/>
                <w:sz w:val="22"/>
                <w:szCs w:val="22"/>
              </w:rPr>
            </w:pPr>
            <w:r>
              <w:rPr>
                <w:rFonts w:ascii="Times New Roman" w:hAnsi="Times New Roman"/>
                <w:sz w:val="22"/>
                <w:szCs w:val="22"/>
              </w:rPr>
              <w:t>Financial Regulations</w:t>
            </w:r>
          </w:p>
        </w:tc>
        <w:tc>
          <w:tcPr>
            <w:tcW w:w="6524" w:type="dxa"/>
          </w:tcPr>
          <w:p w14:paraId="6B6C128E" w14:textId="77777777" w:rsidR="005569AD" w:rsidRDefault="005569AD" w:rsidP="00D34AA9">
            <w:pPr>
              <w:pStyle w:val="PlainText"/>
              <w:jc w:val="both"/>
              <w:rPr>
                <w:rFonts w:ascii="Times New Roman" w:hAnsi="Times New Roman"/>
                <w:sz w:val="22"/>
                <w:szCs w:val="24"/>
              </w:rPr>
            </w:pPr>
            <w:r>
              <w:rPr>
                <w:rFonts w:ascii="Times New Roman" w:hAnsi="Times New Roman"/>
                <w:sz w:val="22"/>
                <w:szCs w:val="24"/>
              </w:rPr>
              <w:t>The wording surrounding the capitalising of assets is potentially misleading. We recommend reviewing this area to ensure the approved policies reflect the Board’s intentions.</w:t>
            </w:r>
          </w:p>
        </w:tc>
      </w:tr>
      <w:tr w:rsidR="00BB4511" w14:paraId="3F410FCB" w14:textId="77777777" w:rsidTr="00B503BB">
        <w:tc>
          <w:tcPr>
            <w:tcW w:w="2492" w:type="dxa"/>
            <w:gridSpan w:val="2"/>
          </w:tcPr>
          <w:p w14:paraId="769EC503" w14:textId="4D56E3E9" w:rsidR="00BB4511" w:rsidRDefault="00BB4511" w:rsidP="00BB4511">
            <w:pPr>
              <w:pStyle w:val="PlainText"/>
              <w:rPr>
                <w:rFonts w:ascii="Times New Roman" w:hAnsi="Times New Roman"/>
                <w:sz w:val="22"/>
                <w:szCs w:val="22"/>
              </w:rPr>
            </w:pPr>
            <w:r>
              <w:rPr>
                <w:rFonts w:ascii="Times New Roman" w:hAnsi="Times New Roman"/>
                <w:sz w:val="22"/>
                <w:szCs w:val="22"/>
              </w:rPr>
              <w:t>ESFA Accounting Officer Letters</w:t>
            </w:r>
          </w:p>
        </w:tc>
        <w:tc>
          <w:tcPr>
            <w:tcW w:w="6524" w:type="dxa"/>
          </w:tcPr>
          <w:p w14:paraId="43F8EA4B" w14:textId="2CC643D5" w:rsidR="00BB4511" w:rsidRDefault="00BB4511" w:rsidP="00D34AA9">
            <w:pPr>
              <w:pStyle w:val="PlainText"/>
              <w:jc w:val="both"/>
              <w:rPr>
                <w:rFonts w:ascii="Times New Roman" w:hAnsi="Times New Roman"/>
                <w:sz w:val="22"/>
                <w:szCs w:val="24"/>
              </w:rPr>
            </w:pPr>
            <w:r>
              <w:rPr>
                <w:rFonts w:ascii="Times New Roman" w:hAnsi="Times New Roman"/>
                <w:sz w:val="22"/>
                <w:szCs w:val="24"/>
              </w:rPr>
              <w:t>We recommend that the Board minute its discussions regarding this letter</w:t>
            </w:r>
            <w:r w:rsidR="002E70C1">
              <w:rPr>
                <w:rFonts w:ascii="Times New Roman" w:hAnsi="Times New Roman"/>
                <w:sz w:val="22"/>
                <w:szCs w:val="24"/>
              </w:rPr>
              <w:t xml:space="preserve"> in line with ESFA expectations.</w:t>
            </w:r>
          </w:p>
        </w:tc>
      </w:tr>
      <w:tr w:rsidR="00BB4511" w14:paraId="1A855FD4" w14:textId="77777777" w:rsidTr="00B503BB">
        <w:tc>
          <w:tcPr>
            <w:tcW w:w="2492" w:type="dxa"/>
            <w:gridSpan w:val="2"/>
          </w:tcPr>
          <w:p w14:paraId="4E0E2EA4" w14:textId="212090AD" w:rsidR="00BB4511" w:rsidRDefault="00BB4511" w:rsidP="00BB4511">
            <w:pPr>
              <w:pStyle w:val="PlainText"/>
              <w:rPr>
                <w:rFonts w:ascii="Times New Roman" w:hAnsi="Times New Roman"/>
                <w:sz w:val="22"/>
                <w:szCs w:val="22"/>
              </w:rPr>
            </w:pPr>
            <w:r>
              <w:rPr>
                <w:rFonts w:ascii="Times New Roman" w:hAnsi="Times New Roman"/>
                <w:sz w:val="22"/>
                <w:szCs w:val="22"/>
              </w:rPr>
              <w:t>Internal review</w:t>
            </w:r>
          </w:p>
        </w:tc>
        <w:tc>
          <w:tcPr>
            <w:tcW w:w="6524" w:type="dxa"/>
          </w:tcPr>
          <w:p w14:paraId="11202DAF" w14:textId="7D730E53" w:rsidR="00BB4511" w:rsidRDefault="00BB4511" w:rsidP="00D34AA9">
            <w:pPr>
              <w:pStyle w:val="PlainText"/>
              <w:jc w:val="both"/>
              <w:rPr>
                <w:rFonts w:ascii="Times New Roman" w:hAnsi="Times New Roman"/>
                <w:sz w:val="22"/>
                <w:szCs w:val="24"/>
              </w:rPr>
            </w:pPr>
            <w:r>
              <w:rPr>
                <w:rFonts w:ascii="Times New Roman" w:hAnsi="Times New Roman"/>
                <w:sz w:val="22"/>
                <w:szCs w:val="24"/>
              </w:rPr>
              <w:t xml:space="preserve">In line with the expectations of the ESFA, the areas for internal review consideration should be determined by the Resources Committee with </w:t>
            </w:r>
            <w:r>
              <w:rPr>
                <w:rFonts w:ascii="Times New Roman" w:hAnsi="Times New Roman"/>
                <w:sz w:val="22"/>
                <w:szCs w:val="24"/>
              </w:rPr>
              <w:lastRenderedPageBreak/>
              <w:t>reference to the risk register and previous audit findings and then communicated to Juniper. Significant items for review may include areas not currently covered through Juniper’s standard testing programme</w:t>
            </w:r>
            <w:r w:rsidR="00CB5B4C">
              <w:rPr>
                <w:rFonts w:ascii="Times New Roman" w:hAnsi="Times New Roman"/>
                <w:sz w:val="22"/>
                <w:szCs w:val="24"/>
              </w:rPr>
              <w:t xml:space="preserve"> and require separate review.</w:t>
            </w:r>
          </w:p>
        </w:tc>
      </w:tr>
      <w:tr w:rsidR="009E1291" w14:paraId="2412C480" w14:textId="77777777" w:rsidTr="00B503BB">
        <w:tc>
          <w:tcPr>
            <w:tcW w:w="2492" w:type="dxa"/>
            <w:gridSpan w:val="2"/>
          </w:tcPr>
          <w:p w14:paraId="558CB857" w14:textId="50FC1D3F" w:rsidR="009E1291" w:rsidRDefault="00C403A8" w:rsidP="00BB4511">
            <w:pPr>
              <w:pStyle w:val="PlainText"/>
              <w:rPr>
                <w:rFonts w:ascii="Times New Roman" w:hAnsi="Times New Roman"/>
                <w:sz w:val="22"/>
                <w:szCs w:val="22"/>
              </w:rPr>
            </w:pPr>
            <w:r>
              <w:rPr>
                <w:rFonts w:ascii="Times New Roman" w:hAnsi="Times New Roman"/>
                <w:sz w:val="22"/>
                <w:szCs w:val="22"/>
              </w:rPr>
              <w:lastRenderedPageBreak/>
              <w:t>S</w:t>
            </w:r>
            <w:r w:rsidR="009E1291">
              <w:rPr>
                <w:rFonts w:ascii="Times New Roman" w:hAnsi="Times New Roman"/>
                <w:sz w:val="22"/>
                <w:szCs w:val="22"/>
              </w:rPr>
              <w:t>tatutory Filings</w:t>
            </w:r>
          </w:p>
        </w:tc>
        <w:tc>
          <w:tcPr>
            <w:tcW w:w="6524" w:type="dxa"/>
          </w:tcPr>
          <w:p w14:paraId="1288C5A3" w14:textId="62848476" w:rsidR="009E1291" w:rsidRPr="009E1291" w:rsidRDefault="009E1291" w:rsidP="00D34AA9">
            <w:pPr>
              <w:pStyle w:val="PlainText"/>
              <w:jc w:val="both"/>
              <w:rPr>
                <w:rFonts w:ascii="Times New Roman" w:hAnsi="Times New Roman"/>
                <w:sz w:val="22"/>
                <w:szCs w:val="24"/>
              </w:rPr>
            </w:pPr>
            <w:r w:rsidRPr="009E1291">
              <w:rPr>
                <w:rFonts w:ascii="Times New Roman" w:hAnsi="Times New Roman"/>
                <w:sz w:val="22"/>
                <w:szCs w:val="28"/>
              </w:rPr>
              <w:t>Trustee changes were filed at Companies House outside of the 14 day statutory requirement. Recommend filing all changes within 14 days to confirm the Trust is conforming to its statutory obligations.</w:t>
            </w:r>
          </w:p>
        </w:tc>
      </w:tr>
    </w:tbl>
    <w:p w14:paraId="6DDA0A95" w14:textId="77777777" w:rsidR="00EA20F7" w:rsidRDefault="00EA20F7" w:rsidP="00581538">
      <w:pPr>
        <w:jc w:val="center"/>
      </w:pPr>
    </w:p>
    <w:p w14:paraId="05BF651E" w14:textId="6CA76BA8" w:rsidR="001020D8" w:rsidRDefault="001020D8" w:rsidP="00581538">
      <w:pPr>
        <w:jc w:val="center"/>
      </w:pPr>
      <w:r>
        <w:t>-2-</w:t>
      </w:r>
    </w:p>
    <w:p w14:paraId="1A96D344" w14:textId="77777777" w:rsidR="001020D8" w:rsidRDefault="001020D8" w:rsidP="00482709"/>
    <w:p w14:paraId="2733A75B" w14:textId="77777777" w:rsidR="001020D8" w:rsidRDefault="001020D8" w:rsidP="00482709"/>
    <w:p w14:paraId="03A804C3" w14:textId="77777777" w:rsidR="00834873" w:rsidRDefault="00E06796" w:rsidP="00482709">
      <w:r>
        <w:t>This information is provided purely for management purposes and although</w:t>
      </w:r>
      <w:r w:rsidR="00834873">
        <w:t xml:space="preserve">, where requested, </w:t>
      </w:r>
      <w:r>
        <w:t>we will discuss the content of this letter with management</w:t>
      </w:r>
      <w:r w:rsidR="00834873">
        <w:t xml:space="preserve"> </w:t>
      </w:r>
      <w:r>
        <w:t xml:space="preserve">these are matters that under </w:t>
      </w:r>
      <w:r w:rsidR="00834873">
        <w:t>International Auditing Standards need not be communicated in writing.</w:t>
      </w:r>
    </w:p>
    <w:p w14:paraId="5FCB50E1" w14:textId="77777777" w:rsidR="00834873" w:rsidRDefault="00834873" w:rsidP="00482709"/>
    <w:p w14:paraId="15EAAFBE" w14:textId="77777777" w:rsidR="00834873" w:rsidRDefault="00834873" w:rsidP="00482709">
      <w:r>
        <w:t>Yours Faithfully</w:t>
      </w:r>
    </w:p>
    <w:p w14:paraId="6764C3FE" w14:textId="77777777" w:rsidR="00E13C78" w:rsidRPr="00B96B53" w:rsidRDefault="00834873" w:rsidP="00482709">
      <w:r>
        <w:t xml:space="preserve">MWS </w:t>
      </w:r>
      <w:r w:rsidR="00E06796">
        <w:t xml:space="preserve">  </w:t>
      </w:r>
    </w:p>
    <w:sectPr w:rsidR="00E13C78" w:rsidRPr="00B96B53" w:rsidSect="00581538">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709"/>
    <w:rsid w:val="001020D8"/>
    <w:rsid w:val="00135A3B"/>
    <w:rsid w:val="00172568"/>
    <w:rsid w:val="00176114"/>
    <w:rsid w:val="001774C0"/>
    <w:rsid w:val="00290C74"/>
    <w:rsid w:val="002C0CD0"/>
    <w:rsid w:val="002D7591"/>
    <w:rsid w:val="002E70C1"/>
    <w:rsid w:val="003134FB"/>
    <w:rsid w:val="00335F75"/>
    <w:rsid w:val="0045437A"/>
    <w:rsid w:val="00482709"/>
    <w:rsid w:val="005103BA"/>
    <w:rsid w:val="005569AD"/>
    <w:rsid w:val="00581538"/>
    <w:rsid w:val="00595FE3"/>
    <w:rsid w:val="00765567"/>
    <w:rsid w:val="00834873"/>
    <w:rsid w:val="0097333D"/>
    <w:rsid w:val="00982D13"/>
    <w:rsid w:val="009D5DEA"/>
    <w:rsid w:val="009E1291"/>
    <w:rsid w:val="009E26C7"/>
    <w:rsid w:val="00B503BB"/>
    <w:rsid w:val="00B96B53"/>
    <w:rsid w:val="00BB4511"/>
    <w:rsid w:val="00C403A8"/>
    <w:rsid w:val="00C704EE"/>
    <w:rsid w:val="00CB5B4C"/>
    <w:rsid w:val="00D34AA9"/>
    <w:rsid w:val="00D931A0"/>
    <w:rsid w:val="00DC2C4D"/>
    <w:rsid w:val="00E06796"/>
    <w:rsid w:val="00E13C78"/>
    <w:rsid w:val="00E86067"/>
    <w:rsid w:val="00EA20F7"/>
    <w:rsid w:val="00F03FE8"/>
    <w:rsid w:val="00F20925"/>
    <w:rsid w:val="00F64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3C545"/>
  <w15:docId w15:val="{B082468C-E644-4BD1-A4EE-F655B5F0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709"/>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82709"/>
    <w:rPr>
      <w:rFonts w:ascii="Courier New" w:hAnsi="Courier New"/>
      <w:sz w:val="20"/>
    </w:rPr>
  </w:style>
  <w:style w:type="character" w:customStyle="1" w:styleId="PlainTextChar">
    <w:name w:val="Plain Text Char"/>
    <w:basedOn w:val="DefaultParagraphFont"/>
    <w:link w:val="PlainText"/>
    <w:rsid w:val="00482709"/>
    <w:rPr>
      <w:rFonts w:ascii="Courier New" w:eastAsia="Times New Roman" w:hAnsi="Courier New" w:cs="Times New Roman"/>
      <w:sz w:val="20"/>
      <w:szCs w:val="20"/>
    </w:rPr>
  </w:style>
  <w:style w:type="table" w:styleId="TableGrid">
    <w:name w:val="Table Grid"/>
    <w:basedOn w:val="TableNormal"/>
    <w:uiPriority w:val="59"/>
    <w:rsid w:val="00B96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37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41609E84</Template>
  <TotalTime>0</TotalTime>
  <Pages>2</Pages>
  <Words>498</Words>
  <Characters>2844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Lamont</dc:creator>
  <cp:lastModifiedBy>K.Whordley</cp:lastModifiedBy>
  <cp:revision>2</cp:revision>
  <cp:lastPrinted>2019-11-13T15:17:00Z</cp:lastPrinted>
  <dcterms:created xsi:type="dcterms:W3CDTF">2020-12-01T07:09:00Z</dcterms:created>
  <dcterms:modified xsi:type="dcterms:W3CDTF">2020-12-01T07:09:00Z</dcterms:modified>
</cp:coreProperties>
</file>