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2BF0" w14:textId="77777777" w:rsidR="00036C8B" w:rsidRDefault="00036C8B" w:rsidP="0097333D">
      <w:pPr>
        <w:pStyle w:val="PlainText"/>
        <w:rPr>
          <w:rFonts w:ascii="Times New Roman" w:hAnsi="Times New Roman"/>
          <w:sz w:val="21"/>
          <w:szCs w:val="21"/>
        </w:rPr>
      </w:pPr>
    </w:p>
    <w:p w14:paraId="3A2E40B2" w14:textId="77777777" w:rsidR="00036C8B" w:rsidRDefault="00036C8B" w:rsidP="0097333D">
      <w:pPr>
        <w:pStyle w:val="PlainText"/>
        <w:rPr>
          <w:rFonts w:ascii="Times New Roman" w:hAnsi="Times New Roman"/>
          <w:sz w:val="21"/>
          <w:szCs w:val="21"/>
        </w:rPr>
      </w:pPr>
    </w:p>
    <w:p w14:paraId="684F4749" w14:textId="77777777" w:rsidR="00036C8B" w:rsidRDefault="00036C8B" w:rsidP="0097333D">
      <w:pPr>
        <w:pStyle w:val="PlainText"/>
        <w:rPr>
          <w:rFonts w:ascii="Times New Roman" w:hAnsi="Times New Roman"/>
          <w:sz w:val="21"/>
          <w:szCs w:val="21"/>
        </w:rPr>
      </w:pPr>
    </w:p>
    <w:p w14:paraId="64A376B7" w14:textId="4A064AF8" w:rsidR="00036C8B" w:rsidRDefault="00D45F0C" w:rsidP="0097333D">
      <w:pPr>
        <w:pStyle w:val="PlainText"/>
        <w:rPr>
          <w:rFonts w:ascii="Times New Roman" w:hAnsi="Times New Roman"/>
          <w:sz w:val="21"/>
          <w:szCs w:val="21"/>
        </w:rPr>
      </w:pPr>
      <w:r w:rsidRPr="00BB33BF">
        <w:rPr>
          <w:rFonts w:ascii="Times New Roman" w:hAnsi="Times New Roman"/>
          <w:sz w:val="21"/>
          <w:szCs w:val="21"/>
        </w:rPr>
        <w:t>1</w:t>
      </w:r>
      <w:r w:rsidR="00197D79" w:rsidRPr="00BB33BF">
        <w:rPr>
          <w:rFonts w:ascii="Times New Roman" w:hAnsi="Times New Roman"/>
          <w:sz w:val="21"/>
          <w:szCs w:val="21"/>
        </w:rPr>
        <w:t>2</w:t>
      </w:r>
      <w:r w:rsidRPr="00BB33BF">
        <w:rPr>
          <w:rFonts w:ascii="Times New Roman" w:hAnsi="Times New Roman"/>
          <w:sz w:val="21"/>
          <w:szCs w:val="21"/>
          <w:vertAlign w:val="superscript"/>
        </w:rPr>
        <w:t xml:space="preserve">th </w:t>
      </w:r>
      <w:r w:rsidRPr="00BB33BF">
        <w:rPr>
          <w:rFonts w:ascii="Times New Roman" w:hAnsi="Times New Roman"/>
          <w:sz w:val="21"/>
          <w:szCs w:val="21"/>
        </w:rPr>
        <w:t>December 20</w:t>
      </w:r>
      <w:r w:rsidR="00197D79" w:rsidRPr="00BB33BF">
        <w:rPr>
          <w:rFonts w:ascii="Times New Roman" w:hAnsi="Times New Roman"/>
          <w:sz w:val="21"/>
          <w:szCs w:val="21"/>
        </w:rPr>
        <w:t>23</w:t>
      </w:r>
    </w:p>
    <w:p w14:paraId="2C70E456" w14:textId="08E069CB" w:rsidR="0097333D" w:rsidRPr="00543F9A" w:rsidRDefault="00543F9A" w:rsidP="0097333D">
      <w:pPr>
        <w:pStyle w:val="PlainText"/>
        <w:rPr>
          <w:rFonts w:ascii="Times New Roman" w:hAnsi="Times New Roman"/>
          <w:sz w:val="21"/>
          <w:szCs w:val="21"/>
        </w:rPr>
      </w:pPr>
      <w:r>
        <w:rPr>
          <w:noProof/>
          <w:lang w:eastAsia="en-GB"/>
        </w:rPr>
        <w:drawing>
          <wp:anchor distT="0" distB="0" distL="114300" distR="114300" simplePos="0" relativeHeight="251658752" behindDoc="0" locked="0" layoutInCell="1" allowOverlap="1" wp14:anchorId="7C02F984" wp14:editId="4B9D6854">
            <wp:simplePos x="0" y="0"/>
            <wp:positionH relativeFrom="margin">
              <wp:posOffset>3335628</wp:posOffset>
            </wp:positionH>
            <wp:positionV relativeFrom="margin">
              <wp:posOffset>-566912</wp:posOffset>
            </wp:positionV>
            <wp:extent cx="2339977" cy="1258571"/>
            <wp:effectExtent l="0" t="0" r="3173"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39977" cy="1258571"/>
                    </a:xfrm>
                    <a:prstGeom prst="rect">
                      <a:avLst/>
                    </a:prstGeom>
                    <a:noFill/>
                    <a:ln>
                      <a:noFill/>
                      <a:prstDash/>
                    </a:ln>
                  </pic:spPr>
                </pic:pic>
              </a:graphicData>
            </a:graphic>
          </wp:anchor>
        </w:drawing>
      </w:r>
      <w:r w:rsidR="0097333D" w:rsidRPr="00543F9A">
        <w:rPr>
          <w:rFonts w:ascii="Times New Roman" w:hAnsi="Times New Roman"/>
          <w:sz w:val="21"/>
          <w:szCs w:val="21"/>
        </w:rPr>
        <w:tab/>
      </w:r>
    </w:p>
    <w:p w14:paraId="01F47D4E" w14:textId="59EC4E6C" w:rsidR="0097333D" w:rsidRPr="00543F9A" w:rsidRDefault="0097333D" w:rsidP="0097333D">
      <w:pPr>
        <w:pStyle w:val="PlainText"/>
        <w:rPr>
          <w:rFonts w:ascii="Times New Roman" w:hAnsi="Times New Roman"/>
          <w:sz w:val="21"/>
          <w:szCs w:val="21"/>
        </w:rPr>
      </w:pPr>
    </w:p>
    <w:p w14:paraId="1B77C672" w14:textId="5857A133" w:rsidR="0097333D" w:rsidRPr="00543F9A" w:rsidRDefault="0097333D" w:rsidP="0097333D">
      <w:pPr>
        <w:tabs>
          <w:tab w:val="left" w:pos="7650"/>
        </w:tabs>
        <w:ind w:right="27"/>
        <w:rPr>
          <w:sz w:val="21"/>
          <w:szCs w:val="21"/>
        </w:rPr>
      </w:pPr>
      <w:r w:rsidRPr="00543F9A">
        <w:rPr>
          <w:sz w:val="21"/>
          <w:szCs w:val="21"/>
        </w:rPr>
        <w:t>Our ref:  S627/CS/</w:t>
      </w:r>
      <w:r w:rsidR="00C7387D">
        <w:rPr>
          <w:sz w:val="21"/>
          <w:szCs w:val="21"/>
        </w:rPr>
        <w:t>SRS</w:t>
      </w:r>
      <w:r w:rsidRPr="00543F9A">
        <w:rPr>
          <w:sz w:val="21"/>
          <w:szCs w:val="21"/>
        </w:rPr>
        <w:t>/CJ</w:t>
      </w:r>
    </w:p>
    <w:p w14:paraId="5D04C43A" w14:textId="77777777" w:rsidR="0097333D" w:rsidRPr="00543F9A" w:rsidRDefault="0097333D" w:rsidP="0097333D">
      <w:pPr>
        <w:rPr>
          <w:sz w:val="21"/>
          <w:szCs w:val="21"/>
        </w:rPr>
      </w:pPr>
    </w:p>
    <w:p w14:paraId="1AE8DA7C" w14:textId="77777777" w:rsidR="0097333D" w:rsidRPr="00543F9A" w:rsidRDefault="0097333D" w:rsidP="0097333D">
      <w:pPr>
        <w:tabs>
          <w:tab w:val="left" w:pos="7650"/>
        </w:tabs>
        <w:ind w:right="27"/>
        <w:rPr>
          <w:b/>
          <w:sz w:val="21"/>
          <w:szCs w:val="21"/>
        </w:rPr>
      </w:pPr>
      <w:r w:rsidRPr="00543F9A">
        <w:rPr>
          <w:b/>
          <w:sz w:val="21"/>
          <w:szCs w:val="21"/>
        </w:rPr>
        <w:t>Private &amp; Confidential</w:t>
      </w:r>
    </w:p>
    <w:p w14:paraId="721292B9" w14:textId="77777777" w:rsidR="0097333D" w:rsidRPr="00543F9A" w:rsidRDefault="0097333D" w:rsidP="0097333D">
      <w:pPr>
        <w:tabs>
          <w:tab w:val="left" w:pos="7650"/>
        </w:tabs>
        <w:ind w:right="27"/>
        <w:rPr>
          <w:sz w:val="21"/>
          <w:szCs w:val="21"/>
        </w:rPr>
      </w:pPr>
      <w:r w:rsidRPr="00543F9A">
        <w:rPr>
          <w:sz w:val="21"/>
          <w:szCs w:val="21"/>
        </w:rPr>
        <w:t>The Governors</w:t>
      </w:r>
    </w:p>
    <w:p w14:paraId="4D93AE94" w14:textId="77777777" w:rsidR="0097333D" w:rsidRPr="00543F9A" w:rsidRDefault="0097333D" w:rsidP="0097333D">
      <w:pPr>
        <w:tabs>
          <w:tab w:val="left" w:pos="5400"/>
          <w:tab w:val="right" w:pos="9000"/>
        </w:tabs>
        <w:rPr>
          <w:sz w:val="21"/>
          <w:szCs w:val="21"/>
        </w:rPr>
      </w:pPr>
      <w:r w:rsidRPr="00543F9A">
        <w:rPr>
          <w:sz w:val="21"/>
          <w:szCs w:val="21"/>
        </w:rPr>
        <w:t>Shenfield High School</w:t>
      </w:r>
    </w:p>
    <w:p w14:paraId="359D48D8" w14:textId="77777777" w:rsidR="0097333D" w:rsidRPr="00543F9A" w:rsidRDefault="0097333D" w:rsidP="0097333D">
      <w:pPr>
        <w:tabs>
          <w:tab w:val="left" w:pos="5400"/>
          <w:tab w:val="right" w:pos="9000"/>
        </w:tabs>
        <w:rPr>
          <w:sz w:val="21"/>
          <w:szCs w:val="21"/>
        </w:rPr>
      </w:pPr>
      <w:r w:rsidRPr="00543F9A">
        <w:rPr>
          <w:sz w:val="21"/>
          <w:szCs w:val="21"/>
        </w:rPr>
        <w:t>Alexander Lane, Shenfield</w:t>
      </w:r>
    </w:p>
    <w:p w14:paraId="6E006194" w14:textId="77777777" w:rsidR="0097333D" w:rsidRPr="00543F9A" w:rsidRDefault="0097333D" w:rsidP="0097333D">
      <w:pPr>
        <w:tabs>
          <w:tab w:val="left" w:pos="5400"/>
          <w:tab w:val="right" w:pos="9000"/>
        </w:tabs>
        <w:rPr>
          <w:sz w:val="21"/>
          <w:szCs w:val="21"/>
        </w:rPr>
      </w:pPr>
      <w:r w:rsidRPr="00543F9A">
        <w:rPr>
          <w:sz w:val="21"/>
          <w:szCs w:val="21"/>
        </w:rPr>
        <w:t>Brentwood</w:t>
      </w:r>
    </w:p>
    <w:p w14:paraId="1FAC662D" w14:textId="77777777" w:rsidR="0097333D" w:rsidRPr="00543F9A" w:rsidRDefault="0097333D" w:rsidP="0097333D">
      <w:pPr>
        <w:tabs>
          <w:tab w:val="left" w:pos="5400"/>
          <w:tab w:val="right" w:pos="9000"/>
        </w:tabs>
        <w:rPr>
          <w:sz w:val="21"/>
          <w:szCs w:val="21"/>
        </w:rPr>
      </w:pPr>
      <w:r w:rsidRPr="00543F9A">
        <w:rPr>
          <w:sz w:val="21"/>
          <w:szCs w:val="21"/>
        </w:rPr>
        <w:t>Essex CM15 8RY</w:t>
      </w:r>
    </w:p>
    <w:p w14:paraId="33D8861E" w14:textId="77777777" w:rsidR="0097333D" w:rsidRPr="00543F9A" w:rsidRDefault="0097333D" w:rsidP="0097333D">
      <w:pPr>
        <w:tabs>
          <w:tab w:val="left" w:pos="284"/>
          <w:tab w:val="left" w:pos="7938"/>
        </w:tabs>
        <w:ind w:right="27"/>
        <w:jc w:val="both"/>
        <w:rPr>
          <w:sz w:val="21"/>
          <w:szCs w:val="21"/>
        </w:rPr>
      </w:pPr>
    </w:p>
    <w:p w14:paraId="149E0877" w14:textId="77777777" w:rsidR="0097333D" w:rsidRPr="00543F9A" w:rsidRDefault="0097333D" w:rsidP="0097333D">
      <w:pPr>
        <w:tabs>
          <w:tab w:val="left" w:pos="284"/>
          <w:tab w:val="left" w:pos="7938"/>
        </w:tabs>
        <w:ind w:right="27"/>
        <w:jc w:val="both"/>
        <w:rPr>
          <w:sz w:val="21"/>
          <w:szCs w:val="21"/>
        </w:rPr>
      </w:pPr>
      <w:r w:rsidRPr="00543F9A">
        <w:rPr>
          <w:sz w:val="21"/>
          <w:szCs w:val="21"/>
        </w:rPr>
        <w:t>Dear Sirs</w:t>
      </w:r>
    </w:p>
    <w:p w14:paraId="0DB76F5C" w14:textId="77777777" w:rsidR="00482709" w:rsidRPr="00543F9A" w:rsidRDefault="00482709" w:rsidP="00482709">
      <w:pPr>
        <w:pStyle w:val="PlainText"/>
        <w:rPr>
          <w:rFonts w:ascii="Times New Roman" w:hAnsi="Times New Roman"/>
          <w:b/>
          <w:sz w:val="21"/>
          <w:szCs w:val="21"/>
        </w:rPr>
      </w:pPr>
    </w:p>
    <w:p w14:paraId="5137E3C1" w14:textId="77777777" w:rsidR="00482709" w:rsidRPr="00543F9A" w:rsidRDefault="00482709" w:rsidP="00482709">
      <w:pPr>
        <w:pStyle w:val="PlainText"/>
        <w:rPr>
          <w:rFonts w:ascii="Times New Roman" w:hAnsi="Times New Roman"/>
          <w:b/>
          <w:sz w:val="21"/>
          <w:szCs w:val="21"/>
        </w:rPr>
      </w:pPr>
      <w:r w:rsidRPr="00543F9A">
        <w:rPr>
          <w:rFonts w:ascii="Times New Roman" w:hAnsi="Times New Roman"/>
          <w:b/>
          <w:sz w:val="21"/>
          <w:szCs w:val="21"/>
        </w:rPr>
        <w:t>REPORT TO MANAGEMENT</w:t>
      </w:r>
    </w:p>
    <w:p w14:paraId="682939F4" w14:textId="77777777" w:rsidR="006B7B52" w:rsidRPr="00543F9A" w:rsidRDefault="006B7B52">
      <w:pPr>
        <w:rPr>
          <w:sz w:val="21"/>
          <w:szCs w:val="21"/>
        </w:rPr>
      </w:pPr>
    </w:p>
    <w:p w14:paraId="10A1337D" w14:textId="6026AD1A" w:rsidR="00482709" w:rsidRPr="00543F9A" w:rsidRDefault="00482709" w:rsidP="00482709">
      <w:pPr>
        <w:pStyle w:val="PlainText"/>
        <w:jc w:val="both"/>
        <w:rPr>
          <w:rFonts w:ascii="Times New Roman" w:hAnsi="Times New Roman"/>
          <w:sz w:val="21"/>
          <w:szCs w:val="21"/>
        </w:rPr>
      </w:pPr>
      <w:r w:rsidRPr="00543F9A">
        <w:rPr>
          <w:rFonts w:ascii="Times New Roman" w:hAnsi="Times New Roman"/>
          <w:sz w:val="21"/>
          <w:szCs w:val="21"/>
        </w:rPr>
        <w:t>During the course of our audit and regularity assurance engagements for the year ended 31</w:t>
      </w:r>
      <w:r w:rsidRPr="00543F9A">
        <w:rPr>
          <w:rFonts w:ascii="Times New Roman" w:hAnsi="Times New Roman"/>
          <w:sz w:val="21"/>
          <w:szCs w:val="21"/>
          <w:vertAlign w:val="superscript"/>
        </w:rPr>
        <w:t>st</w:t>
      </w:r>
      <w:r w:rsidRPr="00543F9A">
        <w:rPr>
          <w:rFonts w:ascii="Times New Roman" w:hAnsi="Times New Roman"/>
          <w:sz w:val="21"/>
          <w:szCs w:val="21"/>
        </w:rPr>
        <w:t xml:space="preserve"> August 20</w:t>
      </w:r>
      <w:r w:rsidR="002E70C1" w:rsidRPr="00543F9A">
        <w:rPr>
          <w:rFonts w:ascii="Times New Roman" w:hAnsi="Times New Roman"/>
          <w:sz w:val="21"/>
          <w:szCs w:val="21"/>
        </w:rPr>
        <w:t>2</w:t>
      </w:r>
      <w:r w:rsidR="00197D79">
        <w:rPr>
          <w:rFonts w:ascii="Times New Roman" w:hAnsi="Times New Roman"/>
          <w:sz w:val="21"/>
          <w:szCs w:val="21"/>
        </w:rPr>
        <w:t>3</w:t>
      </w:r>
      <w:r w:rsidRPr="00543F9A">
        <w:rPr>
          <w:rFonts w:ascii="Times New Roman" w:hAnsi="Times New Roman"/>
          <w:sz w:val="21"/>
          <w:szCs w:val="21"/>
        </w:rPr>
        <w:t xml:space="preserve"> a number of matters arose which although we </w:t>
      </w:r>
      <w:r w:rsidRPr="00543F9A">
        <w:rPr>
          <w:rFonts w:ascii="Times New Roman" w:hAnsi="Times New Roman"/>
          <w:b/>
          <w:sz w:val="21"/>
          <w:szCs w:val="21"/>
        </w:rPr>
        <w:t>do not</w:t>
      </w:r>
      <w:r w:rsidRPr="00543F9A">
        <w:rPr>
          <w:rFonts w:ascii="Times New Roman" w:hAnsi="Times New Roman"/>
          <w:sz w:val="21"/>
          <w:szCs w:val="21"/>
        </w:rPr>
        <w:t xml:space="preserve"> consider to be significant (as defined under ISA </w:t>
      </w:r>
      <w:r w:rsidR="00E13C78" w:rsidRPr="00543F9A">
        <w:rPr>
          <w:rFonts w:ascii="Times New Roman" w:hAnsi="Times New Roman"/>
          <w:sz w:val="21"/>
          <w:szCs w:val="21"/>
        </w:rPr>
        <w:t xml:space="preserve">265) </w:t>
      </w:r>
      <w:r w:rsidRPr="00543F9A">
        <w:rPr>
          <w:rFonts w:ascii="Times New Roman" w:hAnsi="Times New Roman"/>
          <w:sz w:val="21"/>
          <w:szCs w:val="21"/>
        </w:rPr>
        <w:t xml:space="preserve">we </w:t>
      </w:r>
      <w:r w:rsidR="00E13C78" w:rsidRPr="00543F9A">
        <w:rPr>
          <w:rFonts w:ascii="Times New Roman" w:hAnsi="Times New Roman"/>
          <w:sz w:val="21"/>
          <w:szCs w:val="21"/>
        </w:rPr>
        <w:t>are</w:t>
      </w:r>
      <w:r w:rsidR="0045437A" w:rsidRPr="00543F9A">
        <w:rPr>
          <w:rFonts w:ascii="Times New Roman" w:hAnsi="Times New Roman"/>
          <w:sz w:val="21"/>
          <w:szCs w:val="21"/>
        </w:rPr>
        <w:t xml:space="preserve"> however</w:t>
      </w:r>
      <w:r w:rsidR="00E13C78" w:rsidRPr="00543F9A">
        <w:rPr>
          <w:rFonts w:ascii="Times New Roman" w:hAnsi="Times New Roman"/>
          <w:sz w:val="21"/>
          <w:szCs w:val="21"/>
        </w:rPr>
        <w:t xml:space="preserve"> bringing</w:t>
      </w:r>
      <w:r w:rsidR="0045437A" w:rsidRPr="00543F9A">
        <w:rPr>
          <w:rFonts w:ascii="Times New Roman" w:hAnsi="Times New Roman"/>
          <w:sz w:val="21"/>
          <w:szCs w:val="21"/>
        </w:rPr>
        <w:t xml:space="preserve"> the below</w:t>
      </w:r>
      <w:r w:rsidRPr="00543F9A">
        <w:rPr>
          <w:rFonts w:ascii="Times New Roman" w:hAnsi="Times New Roman"/>
          <w:sz w:val="21"/>
          <w:szCs w:val="21"/>
        </w:rPr>
        <w:t xml:space="preserve"> to your attention</w:t>
      </w:r>
      <w:r w:rsidR="00E13C78" w:rsidRPr="00543F9A">
        <w:rPr>
          <w:rFonts w:ascii="Times New Roman" w:hAnsi="Times New Roman"/>
          <w:sz w:val="21"/>
          <w:szCs w:val="21"/>
        </w:rPr>
        <w:t xml:space="preserve"> for consideration</w:t>
      </w:r>
      <w:r w:rsidRPr="00543F9A">
        <w:rPr>
          <w:rFonts w:ascii="Times New Roman" w:hAnsi="Times New Roman"/>
          <w:sz w:val="21"/>
          <w:szCs w:val="21"/>
        </w:rPr>
        <w:t>.</w:t>
      </w:r>
    </w:p>
    <w:p w14:paraId="134100D4" w14:textId="77777777" w:rsidR="00482709" w:rsidRPr="00543F9A" w:rsidRDefault="00482709" w:rsidP="00482709">
      <w:pPr>
        <w:pStyle w:val="PlainText"/>
        <w:jc w:val="both"/>
        <w:rPr>
          <w:rFonts w:ascii="Times New Roman" w:hAnsi="Times New Roman"/>
          <w:sz w:val="21"/>
          <w:szCs w:val="21"/>
        </w:rPr>
      </w:pPr>
    </w:p>
    <w:p w14:paraId="3FC98441" w14:textId="77777777" w:rsidR="00482709" w:rsidRPr="00543F9A" w:rsidRDefault="0045437A" w:rsidP="00B96B53">
      <w:pPr>
        <w:pStyle w:val="PlainText"/>
        <w:jc w:val="both"/>
        <w:rPr>
          <w:rFonts w:ascii="Times New Roman" w:hAnsi="Times New Roman"/>
          <w:sz w:val="21"/>
          <w:szCs w:val="21"/>
        </w:rPr>
      </w:pPr>
      <w:r w:rsidRPr="00543F9A">
        <w:rPr>
          <w:rFonts w:ascii="Times New Roman" w:hAnsi="Times New Roman"/>
          <w:sz w:val="21"/>
          <w:szCs w:val="21"/>
        </w:rPr>
        <w:t>Enclosed</w:t>
      </w:r>
      <w:r w:rsidR="00482709" w:rsidRPr="00543F9A">
        <w:rPr>
          <w:rFonts w:ascii="Times New Roman" w:hAnsi="Times New Roman"/>
          <w:sz w:val="21"/>
          <w:szCs w:val="21"/>
        </w:rPr>
        <w:t xml:space="preserve"> is a memorandum noting these </w:t>
      </w:r>
      <w:r w:rsidR="00B96B53" w:rsidRPr="00543F9A">
        <w:rPr>
          <w:rFonts w:ascii="Times New Roman" w:hAnsi="Times New Roman"/>
          <w:sz w:val="21"/>
          <w:szCs w:val="21"/>
        </w:rPr>
        <w:t>points</w:t>
      </w:r>
      <w:r w:rsidR="00834873" w:rsidRPr="00543F9A">
        <w:rPr>
          <w:rFonts w:ascii="Times New Roman" w:hAnsi="Times New Roman"/>
          <w:sz w:val="21"/>
          <w:szCs w:val="21"/>
        </w:rPr>
        <w:t>,</w:t>
      </w:r>
      <w:r w:rsidR="00B96B53" w:rsidRPr="00543F9A">
        <w:rPr>
          <w:rFonts w:ascii="Times New Roman" w:hAnsi="Times New Roman"/>
          <w:sz w:val="21"/>
          <w:szCs w:val="21"/>
        </w:rPr>
        <w:t xml:space="preserve"> t</w:t>
      </w:r>
      <w:r w:rsidR="00482709" w:rsidRPr="00543F9A">
        <w:rPr>
          <w:rFonts w:ascii="Times New Roman" w:hAnsi="Times New Roman"/>
          <w:sz w:val="21"/>
          <w:szCs w:val="21"/>
        </w:rPr>
        <w:t xml:space="preserve">hese matters came to light during the course of our normal audit and assurance tests which are designed to assist us in forming our opinion on the financial statements and providing a limited assurance conclusion on regularity.  Our tests may not necessarily disclose all errors or irregularities and should not be relied upon to do so. </w:t>
      </w:r>
      <w:r w:rsidR="00E13C78" w:rsidRPr="00543F9A">
        <w:rPr>
          <w:rFonts w:ascii="Times New Roman" w:hAnsi="Times New Roman"/>
          <w:sz w:val="21"/>
          <w:szCs w:val="21"/>
        </w:rPr>
        <w:t>Matters we consider significant are not also reported here but are included within our audit findings letter which is addressed to the Trustees of the Academy Trust.</w:t>
      </w:r>
      <w:r w:rsidR="00482709" w:rsidRPr="00543F9A">
        <w:rPr>
          <w:rFonts w:ascii="Times New Roman" w:hAnsi="Times New Roman"/>
          <w:sz w:val="21"/>
          <w:szCs w:val="21"/>
        </w:rPr>
        <w:t xml:space="preserve"> </w:t>
      </w:r>
    </w:p>
    <w:p w14:paraId="30E39724" w14:textId="77777777" w:rsidR="00E13C78" w:rsidRPr="00543F9A" w:rsidRDefault="00E13C78" w:rsidP="00482709">
      <w:pPr>
        <w:rPr>
          <w:sz w:val="21"/>
          <w:szCs w:val="21"/>
        </w:rPr>
      </w:pPr>
    </w:p>
    <w:p w14:paraId="262A1EA4" w14:textId="7AFBB33D" w:rsidR="00E13C78" w:rsidRDefault="00E13C78" w:rsidP="00E13C78">
      <w:pPr>
        <w:pStyle w:val="PlainText"/>
        <w:jc w:val="both"/>
        <w:rPr>
          <w:rFonts w:ascii="Times New Roman" w:hAnsi="Times New Roman"/>
          <w:sz w:val="21"/>
          <w:szCs w:val="21"/>
        </w:rPr>
      </w:pPr>
      <w:r w:rsidRPr="00543F9A">
        <w:rPr>
          <w:rFonts w:ascii="Times New Roman" w:hAnsi="Times New Roman"/>
          <w:sz w:val="21"/>
          <w:szCs w:val="21"/>
        </w:rPr>
        <w:t xml:space="preserve">This </w:t>
      </w:r>
      <w:r w:rsidR="00B96B53" w:rsidRPr="00543F9A">
        <w:rPr>
          <w:rFonts w:ascii="Times New Roman" w:hAnsi="Times New Roman"/>
          <w:sz w:val="21"/>
          <w:szCs w:val="21"/>
        </w:rPr>
        <w:t>letter</w:t>
      </w:r>
      <w:r w:rsidRPr="00543F9A">
        <w:rPr>
          <w:rFonts w:ascii="Times New Roman" w:hAnsi="Times New Roman"/>
          <w:sz w:val="21"/>
          <w:szCs w:val="21"/>
        </w:rPr>
        <w:t xml:space="preserve"> has been prepared for the sole use of the Management of</w:t>
      </w:r>
      <w:r w:rsidR="00135A3B" w:rsidRPr="00543F9A">
        <w:rPr>
          <w:rFonts w:ascii="Times New Roman" w:hAnsi="Times New Roman"/>
          <w:sz w:val="21"/>
          <w:szCs w:val="21"/>
        </w:rPr>
        <w:t xml:space="preserve"> Shenfield High School</w:t>
      </w:r>
      <w:r w:rsidRPr="00543F9A">
        <w:rPr>
          <w:rFonts w:ascii="Times New Roman" w:hAnsi="Times New Roman"/>
          <w:sz w:val="21"/>
          <w:szCs w:val="21"/>
        </w:rPr>
        <w:t xml:space="preserve">. No copies </w:t>
      </w:r>
      <w:r w:rsidR="005569AD" w:rsidRPr="00543F9A">
        <w:rPr>
          <w:rFonts w:ascii="Times New Roman" w:hAnsi="Times New Roman"/>
          <w:sz w:val="21"/>
          <w:szCs w:val="21"/>
        </w:rPr>
        <w:t xml:space="preserve"> </w:t>
      </w:r>
      <w:r w:rsidRPr="00543F9A">
        <w:rPr>
          <w:rFonts w:ascii="Times New Roman" w:hAnsi="Times New Roman"/>
          <w:sz w:val="21"/>
          <w:szCs w:val="21"/>
        </w:rPr>
        <w:t xml:space="preserve">of this letter may be provided to third parties without our prior consent.  Consent is, and will only be, granted on the basis that such copies are not distributed with the interests of anyone other than the academy in mind and that we accept no duty or responsibility to any other party.  No responsibilities are accepted by MWS towards any party acting or refraining from action as a result of this </w:t>
      </w:r>
      <w:r w:rsidR="00B96B53" w:rsidRPr="00543F9A">
        <w:rPr>
          <w:rFonts w:ascii="Times New Roman" w:hAnsi="Times New Roman"/>
          <w:sz w:val="21"/>
          <w:szCs w:val="21"/>
        </w:rPr>
        <w:t>letter</w:t>
      </w:r>
      <w:r w:rsidRPr="00543F9A">
        <w:rPr>
          <w:rFonts w:ascii="Times New Roman" w:hAnsi="Times New Roman"/>
          <w:sz w:val="21"/>
          <w:szCs w:val="21"/>
        </w:rPr>
        <w:t>.</w:t>
      </w:r>
    </w:p>
    <w:p w14:paraId="21933BA9" w14:textId="4524E34E" w:rsidR="00036C8B" w:rsidRDefault="00036C8B">
      <w:pPr>
        <w:rPr>
          <w:noProof/>
        </w:rPr>
      </w:pPr>
    </w:p>
    <w:p w14:paraId="33310DB0" w14:textId="166B9E95" w:rsidR="00D45F0C" w:rsidRDefault="00D45F0C"/>
    <w:p w14:paraId="5CA45905" w14:textId="39AF7FE3" w:rsidR="00036C8B" w:rsidRDefault="00DE5127">
      <w:pPr>
        <w:spacing w:after="200" w:line="276" w:lineRule="auto"/>
        <w:rPr>
          <w:sz w:val="21"/>
          <w:szCs w:val="21"/>
        </w:rPr>
      </w:pPr>
      <w:r>
        <w:rPr>
          <w:noProof/>
        </w:rPr>
        <w:drawing>
          <wp:anchor distT="0" distB="0" distL="114300" distR="114300" simplePos="0" relativeHeight="251658240" behindDoc="0" locked="0" layoutInCell="1" allowOverlap="1" wp14:anchorId="68B1B97D" wp14:editId="66D576E7">
            <wp:simplePos x="0" y="0"/>
            <wp:positionH relativeFrom="column">
              <wp:posOffset>-191135</wp:posOffset>
            </wp:positionH>
            <wp:positionV relativeFrom="page">
              <wp:posOffset>9544050</wp:posOffset>
            </wp:positionV>
            <wp:extent cx="6120130" cy="1019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1019175"/>
                    </a:xfrm>
                    <a:prstGeom prst="rect">
                      <a:avLst/>
                    </a:prstGeom>
                  </pic:spPr>
                </pic:pic>
              </a:graphicData>
            </a:graphic>
            <wp14:sizeRelH relativeFrom="margin">
              <wp14:pctWidth>0</wp14:pctWidth>
            </wp14:sizeRelH>
            <wp14:sizeRelV relativeFrom="margin">
              <wp14:pctHeight>0</wp14:pctHeight>
            </wp14:sizeRelV>
          </wp:anchor>
        </w:drawing>
      </w:r>
      <w:r w:rsidR="00036C8B">
        <w:rPr>
          <w:sz w:val="21"/>
          <w:szCs w:val="21"/>
        </w:rPr>
        <w:br w:type="page"/>
      </w:r>
    </w:p>
    <w:p w14:paraId="6D21197C" w14:textId="77777777" w:rsidR="00036C8B" w:rsidRPr="00543F9A" w:rsidRDefault="00036C8B" w:rsidP="00E13C78">
      <w:pPr>
        <w:pStyle w:val="PlainText"/>
        <w:jc w:val="both"/>
        <w:rPr>
          <w:rFonts w:ascii="Times New Roman" w:hAnsi="Times New Roman"/>
          <w:sz w:val="21"/>
          <w:szCs w:val="21"/>
        </w:rPr>
      </w:pPr>
    </w:p>
    <w:p w14:paraId="38E635E5" w14:textId="29DBA8D4" w:rsidR="005103BA" w:rsidRPr="00543F9A" w:rsidRDefault="005103BA" w:rsidP="005103BA">
      <w:pPr>
        <w:pStyle w:val="PlainText"/>
        <w:jc w:val="both"/>
        <w:rPr>
          <w:rFonts w:ascii="Times New Roman" w:hAnsi="Times New Roman"/>
          <w:sz w:val="21"/>
          <w:szCs w:val="21"/>
        </w:rPr>
      </w:pPr>
    </w:p>
    <w:tbl>
      <w:tblPr>
        <w:tblStyle w:val="TableGrid"/>
        <w:tblW w:w="0" w:type="auto"/>
        <w:tblLook w:val="04A0" w:firstRow="1" w:lastRow="0" w:firstColumn="1" w:lastColumn="0" w:noHBand="0" w:noVBand="1"/>
      </w:tblPr>
      <w:tblGrid>
        <w:gridCol w:w="2489"/>
        <w:gridCol w:w="6527"/>
      </w:tblGrid>
      <w:tr w:rsidR="005103BA" w:rsidRPr="00543F9A" w14:paraId="159604E1" w14:textId="77777777" w:rsidTr="000F4B83">
        <w:tc>
          <w:tcPr>
            <w:tcW w:w="2489" w:type="dxa"/>
          </w:tcPr>
          <w:p w14:paraId="72AE747F" w14:textId="77777777" w:rsidR="005103BA" w:rsidRPr="00543F9A" w:rsidRDefault="005103BA" w:rsidP="00947CE5">
            <w:pPr>
              <w:pStyle w:val="PlainText"/>
              <w:rPr>
                <w:rFonts w:ascii="Times New Roman" w:hAnsi="Times New Roman"/>
                <w:b/>
                <w:sz w:val="21"/>
                <w:szCs w:val="21"/>
              </w:rPr>
            </w:pPr>
            <w:r w:rsidRPr="00543F9A">
              <w:rPr>
                <w:rFonts w:ascii="Times New Roman" w:hAnsi="Times New Roman"/>
                <w:b/>
                <w:sz w:val="21"/>
                <w:szCs w:val="21"/>
              </w:rPr>
              <w:t>Area for consideration</w:t>
            </w:r>
            <w:r w:rsidRPr="00543F9A">
              <w:rPr>
                <w:rFonts w:ascii="Times New Roman" w:hAnsi="Times New Roman"/>
                <w:b/>
                <w:sz w:val="21"/>
                <w:szCs w:val="21"/>
              </w:rPr>
              <w:br/>
            </w:r>
          </w:p>
        </w:tc>
        <w:tc>
          <w:tcPr>
            <w:tcW w:w="6527" w:type="dxa"/>
          </w:tcPr>
          <w:p w14:paraId="29B811F7" w14:textId="77777777" w:rsidR="005103BA" w:rsidRPr="00543F9A" w:rsidRDefault="005103BA" w:rsidP="00947CE5">
            <w:pPr>
              <w:pStyle w:val="PlainText"/>
              <w:jc w:val="both"/>
              <w:rPr>
                <w:rFonts w:ascii="Times New Roman" w:hAnsi="Times New Roman"/>
                <w:b/>
                <w:sz w:val="21"/>
                <w:szCs w:val="21"/>
              </w:rPr>
            </w:pPr>
            <w:r w:rsidRPr="00543F9A">
              <w:rPr>
                <w:rFonts w:ascii="Times New Roman" w:hAnsi="Times New Roman"/>
                <w:b/>
                <w:sz w:val="21"/>
                <w:szCs w:val="21"/>
              </w:rPr>
              <w:t>Details</w:t>
            </w:r>
          </w:p>
        </w:tc>
      </w:tr>
      <w:tr w:rsidR="005C7D75" w:rsidRPr="00543F9A" w14:paraId="3F410FCB" w14:textId="77777777" w:rsidTr="000F4B83">
        <w:tc>
          <w:tcPr>
            <w:tcW w:w="2489" w:type="dxa"/>
          </w:tcPr>
          <w:p w14:paraId="769EC503" w14:textId="6995C0EA" w:rsidR="005C7D75" w:rsidRPr="00543F9A" w:rsidRDefault="001C7DCF" w:rsidP="00BB4511">
            <w:pPr>
              <w:pStyle w:val="PlainText"/>
              <w:rPr>
                <w:rFonts w:ascii="Times New Roman" w:hAnsi="Times New Roman"/>
                <w:sz w:val="21"/>
                <w:szCs w:val="21"/>
              </w:rPr>
            </w:pPr>
            <w:r>
              <w:rPr>
                <w:rFonts w:ascii="Times New Roman" w:hAnsi="Times New Roman"/>
                <w:sz w:val="21"/>
                <w:szCs w:val="21"/>
              </w:rPr>
              <w:t>Finance Regulations wording</w:t>
            </w:r>
          </w:p>
        </w:tc>
        <w:tc>
          <w:tcPr>
            <w:tcW w:w="6527" w:type="dxa"/>
          </w:tcPr>
          <w:p w14:paraId="43F8EA4B" w14:textId="75CDB2DE" w:rsidR="005C7D75" w:rsidRPr="00543F9A" w:rsidRDefault="00553B26" w:rsidP="00D34AA9">
            <w:pPr>
              <w:pStyle w:val="PlainText"/>
              <w:jc w:val="both"/>
              <w:rPr>
                <w:rFonts w:ascii="Times New Roman" w:hAnsi="Times New Roman"/>
                <w:sz w:val="21"/>
                <w:szCs w:val="21"/>
              </w:rPr>
            </w:pPr>
            <w:r w:rsidRPr="00553B26">
              <w:rPr>
                <w:rFonts w:ascii="Times New Roman" w:hAnsi="Times New Roman"/>
                <w:sz w:val="21"/>
                <w:szCs w:val="21"/>
              </w:rPr>
              <w:t xml:space="preserve">The wording in the finance regulations led to some misunderstanding regarding authorisation of BACS payments for invoices above £25,001. The current wording suggests that any invoices above that should have the BACs authorised by an approved trustee. </w:t>
            </w:r>
            <w:r w:rsidR="00A518AC">
              <w:rPr>
                <w:rFonts w:ascii="Times New Roman" w:hAnsi="Times New Roman"/>
                <w:sz w:val="21"/>
                <w:szCs w:val="21"/>
              </w:rPr>
              <w:t xml:space="preserve">The </w:t>
            </w:r>
            <w:r w:rsidRPr="00553B26">
              <w:rPr>
                <w:rFonts w:ascii="Times New Roman" w:hAnsi="Times New Roman"/>
                <w:sz w:val="21"/>
                <w:szCs w:val="21"/>
              </w:rPr>
              <w:t xml:space="preserve">CFOO </w:t>
            </w:r>
            <w:r w:rsidR="00A518AC">
              <w:rPr>
                <w:rFonts w:ascii="Times New Roman" w:hAnsi="Times New Roman"/>
                <w:sz w:val="21"/>
                <w:szCs w:val="21"/>
              </w:rPr>
              <w:t xml:space="preserve">has </w:t>
            </w:r>
            <w:r w:rsidRPr="00553B26">
              <w:rPr>
                <w:rFonts w:ascii="Times New Roman" w:hAnsi="Times New Roman"/>
                <w:sz w:val="21"/>
                <w:szCs w:val="21"/>
              </w:rPr>
              <w:t>advise</w:t>
            </w:r>
            <w:r w:rsidR="00A518AC">
              <w:rPr>
                <w:rFonts w:ascii="Times New Roman" w:hAnsi="Times New Roman"/>
                <w:sz w:val="21"/>
                <w:szCs w:val="21"/>
              </w:rPr>
              <w:t>d</w:t>
            </w:r>
            <w:r w:rsidRPr="00553B26">
              <w:rPr>
                <w:rFonts w:ascii="Times New Roman" w:hAnsi="Times New Roman"/>
                <w:sz w:val="21"/>
                <w:szCs w:val="21"/>
              </w:rPr>
              <w:t xml:space="preserve"> that the Trust intended that the invoices themselves should be authorised by a trustee before payment. This is</w:t>
            </w:r>
            <w:r w:rsidR="005057E9">
              <w:rPr>
                <w:rFonts w:ascii="Times New Roman" w:hAnsi="Times New Roman"/>
                <w:sz w:val="21"/>
                <w:szCs w:val="21"/>
              </w:rPr>
              <w:t xml:space="preserve"> the process that is being followed, </w:t>
            </w:r>
            <w:r w:rsidRPr="00553B26">
              <w:rPr>
                <w:rFonts w:ascii="Times New Roman" w:hAnsi="Times New Roman"/>
                <w:sz w:val="21"/>
                <w:szCs w:val="21"/>
              </w:rPr>
              <w:t>which supports their intention. CFOO has said the finance reg</w:t>
            </w:r>
            <w:r w:rsidR="00766111">
              <w:rPr>
                <w:rFonts w:ascii="Times New Roman" w:hAnsi="Times New Roman"/>
                <w:sz w:val="21"/>
                <w:szCs w:val="21"/>
              </w:rPr>
              <w:t>ulations</w:t>
            </w:r>
            <w:r w:rsidRPr="00553B26">
              <w:rPr>
                <w:rFonts w:ascii="Times New Roman" w:hAnsi="Times New Roman"/>
                <w:sz w:val="21"/>
                <w:szCs w:val="21"/>
              </w:rPr>
              <w:t xml:space="preserve"> will be amended to reflect this.</w:t>
            </w:r>
          </w:p>
        </w:tc>
      </w:tr>
      <w:tr w:rsidR="00C247BE" w:rsidRPr="00543F9A" w14:paraId="1A855FD4" w14:textId="77777777" w:rsidTr="000F4B83">
        <w:tc>
          <w:tcPr>
            <w:tcW w:w="2489" w:type="dxa"/>
          </w:tcPr>
          <w:p w14:paraId="4E0E2EA4" w14:textId="0E961363" w:rsidR="00C247BE" w:rsidRPr="00543F9A" w:rsidRDefault="00C247BE" w:rsidP="00BB4511">
            <w:pPr>
              <w:pStyle w:val="PlainText"/>
              <w:rPr>
                <w:rFonts w:ascii="Times New Roman" w:hAnsi="Times New Roman"/>
                <w:sz w:val="21"/>
                <w:szCs w:val="21"/>
              </w:rPr>
            </w:pPr>
            <w:r>
              <w:rPr>
                <w:rFonts w:ascii="Times New Roman" w:hAnsi="Times New Roman"/>
                <w:sz w:val="21"/>
                <w:szCs w:val="21"/>
              </w:rPr>
              <w:t>Quotes</w:t>
            </w:r>
          </w:p>
        </w:tc>
        <w:tc>
          <w:tcPr>
            <w:tcW w:w="6527" w:type="dxa"/>
          </w:tcPr>
          <w:p w14:paraId="11202DAF" w14:textId="675F9F54" w:rsidR="00C247BE" w:rsidRPr="00543F9A" w:rsidRDefault="009C5C66" w:rsidP="00D34AA9">
            <w:pPr>
              <w:pStyle w:val="PlainText"/>
              <w:jc w:val="both"/>
              <w:rPr>
                <w:rFonts w:ascii="Times New Roman" w:hAnsi="Times New Roman"/>
                <w:sz w:val="21"/>
                <w:szCs w:val="21"/>
              </w:rPr>
            </w:pPr>
            <w:r w:rsidRPr="009C5C66">
              <w:rPr>
                <w:rFonts w:ascii="Times New Roman" w:hAnsi="Times New Roman"/>
                <w:sz w:val="21"/>
                <w:szCs w:val="21"/>
              </w:rPr>
              <w:t>In line with the financial regulations</w:t>
            </w:r>
            <w:r w:rsidR="00766111">
              <w:rPr>
                <w:rFonts w:ascii="Times New Roman" w:hAnsi="Times New Roman"/>
                <w:sz w:val="21"/>
                <w:szCs w:val="21"/>
              </w:rPr>
              <w:t>,</w:t>
            </w:r>
            <w:r w:rsidRPr="009C5C66">
              <w:rPr>
                <w:rFonts w:ascii="Times New Roman" w:hAnsi="Times New Roman"/>
                <w:sz w:val="21"/>
                <w:szCs w:val="21"/>
              </w:rPr>
              <w:t xml:space="preserve"> 3 quotes should be obtained for all orders above the threshold set</w:t>
            </w:r>
            <w:r w:rsidR="00766111">
              <w:rPr>
                <w:rFonts w:ascii="Times New Roman" w:hAnsi="Times New Roman"/>
                <w:sz w:val="21"/>
                <w:szCs w:val="21"/>
              </w:rPr>
              <w:t>.</w:t>
            </w:r>
            <w:r w:rsidRPr="009C5C66">
              <w:rPr>
                <w:rFonts w:ascii="Times New Roman" w:hAnsi="Times New Roman"/>
                <w:sz w:val="21"/>
                <w:szCs w:val="21"/>
              </w:rPr>
              <w:t xml:space="preserve"> </w:t>
            </w:r>
            <w:r w:rsidR="00766111">
              <w:rPr>
                <w:rFonts w:ascii="Times New Roman" w:hAnsi="Times New Roman"/>
                <w:sz w:val="21"/>
                <w:szCs w:val="21"/>
              </w:rPr>
              <w:t>Th</w:t>
            </w:r>
            <w:r w:rsidRPr="009C5C66">
              <w:rPr>
                <w:rFonts w:ascii="Times New Roman" w:hAnsi="Times New Roman"/>
                <w:sz w:val="21"/>
                <w:szCs w:val="21"/>
              </w:rPr>
              <w:t>is is generally adhered to, however one instance was found where this was not the case. The 3 quotes should be from 3 separate companies offering the same product/</w:t>
            </w:r>
            <w:r w:rsidR="001C7663" w:rsidRPr="009C5C66">
              <w:rPr>
                <w:rFonts w:ascii="Times New Roman" w:hAnsi="Times New Roman"/>
                <w:sz w:val="21"/>
                <w:szCs w:val="21"/>
              </w:rPr>
              <w:t>service</w:t>
            </w:r>
            <w:r w:rsidR="001C7663">
              <w:rPr>
                <w:rFonts w:ascii="Times New Roman" w:hAnsi="Times New Roman"/>
                <w:sz w:val="21"/>
                <w:szCs w:val="21"/>
              </w:rPr>
              <w:t xml:space="preserve"> </w:t>
            </w:r>
            <w:r w:rsidRPr="009C5C66">
              <w:rPr>
                <w:rFonts w:ascii="Times New Roman" w:hAnsi="Times New Roman"/>
                <w:sz w:val="21"/>
                <w:szCs w:val="21"/>
              </w:rPr>
              <w:t xml:space="preserve">so </w:t>
            </w:r>
            <w:r w:rsidR="001C7663">
              <w:rPr>
                <w:rFonts w:ascii="Times New Roman" w:hAnsi="Times New Roman"/>
                <w:sz w:val="21"/>
                <w:szCs w:val="21"/>
              </w:rPr>
              <w:t xml:space="preserve">that </w:t>
            </w:r>
            <w:r w:rsidRPr="009C5C66">
              <w:rPr>
                <w:rFonts w:ascii="Times New Roman" w:hAnsi="Times New Roman"/>
                <w:sz w:val="21"/>
                <w:szCs w:val="21"/>
              </w:rPr>
              <w:t>they are fully comparable.</w:t>
            </w:r>
          </w:p>
        </w:tc>
      </w:tr>
      <w:tr w:rsidR="00C247BE" w:rsidRPr="00543F9A" w14:paraId="3A04154A" w14:textId="77777777" w:rsidTr="000F4B83">
        <w:tc>
          <w:tcPr>
            <w:tcW w:w="2489" w:type="dxa"/>
          </w:tcPr>
          <w:p w14:paraId="0A99F6C3" w14:textId="027AD859" w:rsidR="00C247BE" w:rsidRPr="00543F9A" w:rsidRDefault="006F7142" w:rsidP="00BB4511">
            <w:pPr>
              <w:pStyle w:val="PlainText"/>
              <w:rPr>
                <w:rFonts w:ascii="Times New Roman" w:hAnsi="Times New Roman"/>
                <w:sz w:val="21"/>
                <w:szCs w:val="21"/>
              </w:rPr>
            </w:pPr>
            <w:r>
              <w:rPr>
                <w:rFonts w:ascii="Times New Roman" w:hAnsi="Times New Roman"/>
                <w:sz w:val="21"/>
                <w:szCs w:val="21"/>
              </w:rPr>
              <w:t>IR35</w:t>
            </w:r>
          </w:p>
        </w:tc>
        <w:tc>
          <w:tcPr>
            <w:tcW w:w="6527" w:type="dxa"/>
          </w:tcPr>
          <w:p w14:paraId="4F9C4B5D" w14:textId="607F0BF0" w:rsidR="00C247BE" w:rsidRPr="00543F9A" w:rsidRDefault="00D14B05" w:rsidP="00D34AA9">
            <w:pPr>
              <w:pStyle w:val="PlainText"/>
              <w:jc w:val="both"/>
              <w:rPr>
                <w:rFonts w:ascii="Times New Roman" w:hAnsi="Times New Roman"/>
                <w:sz w:val="21"/>
                <w:szCs w:val="21"/>
              </w:rPr>
            </w:pPr>
            <w:r>
              <w:rPr>
                <w:rFonts w:ascii="Times New Roman" w:hAnsi="Times New Roman"/>
                <w:sz w:val="21"/>
                <w:szCs w:val="21"/>
              </w:rPr>
              <w:t xml:space="preserve">Ensure a conclusion is left with every employment status check – one </w:t>
            </w:r>
            <w:r w:rsidR="00457A46">
              <w:rPr>
                <w:rFonts w:ascii="Times New Roman" w:hAnsi="Times New Roman"/>
                <w:sz w:val="21"/>
                <w:szCs w:val="21"/>
              </w:rPr>
              <w:t>check sampled had an ‘unable to make a determination’ result and there was no reason as to why the Trust had considered them ‘self-employed.’</w:t>
            </w:r>
          </w:p>
        </w:tc>
      </w:tr>
      <w:tr w:rsidR="00457A46" w:rsidRPr="00543F9A" w14:paraId="7ABEF753" w14:textId="77777777" w:rsidTr="000F4B83">
        <w:tc>
          <w:tcPr>
            <w:tcW w:w="2489" w:type="dxa"/>
          </w:tcPr>
          <w:p w14:paraId="35C8B040" w14:textId="4197EDED" w:rsidR="00457A46" w:rsidRDefault="00890102" w:rsidP="00BB4511">
            <w:pPr>
              <w:pStyle w:val="PlainText"/>
              <w:rPr>
                <w:rFonts w:ascii="Times New Roman" w:hAnsi="Times New Roman"/>
                <w:sz w:val="21"/>
                <w:szCs w:val="21"/>
              </w:rPr>
            </w:pPr>
            <w:r>
              <w:rPr>
                <w:rFonts w:ascii="Times New Roman" w:hAnsi="Times New Roman"/>
                <w:sz w:val="21"/>
                <w:szCs w:val="21"/>
              </w:rPr>
              <w:t>Purchase orders</w:t>
            </w:r>
          </w:p>
        </w:tc>
        <w:tc>
          <w:tcPr>
            <w:tcW w:w="6527" w:type="dxa"/>
          </w:tcPr>
          <w:p w14:paraId="6F1E5C11" w14:textId="3FB4C881" w:rsidR="00457A46" w:rsidRDefault="00694B70" w:rsidP="00D34AA9">
            <w:pPr>
              <w:pStyle w:val="PlainText"/>
              <w:jc w:val="both"/>
              <w:rPr>
                <w:rFonts w:ascii="Times New Roman" w:hAnsi="Times New Roman"/>
                <w:sz w:val="21"/>
                <w:szCs w:val="21"/>
              </w:rPr>
            </w:pPr>
            <w:r w:rsidRPr="00694B70">
              <w:rPr>
                <w:rFonts w:ascii="Times New Roman" w:hAnsi="Times New Roman"/>
                <w:sz w:val="21"/>
                <w:szCs w:val="21"/>
              </w:rPr>
              <w:t>A few instances were identified where the purchase order date was after the invoice date. The finance regulations state that once an internal order form is received and sufficient funds are identified, an official purchase order should be raised. It also specifies that for urgent orders a purchase order should be raised as soon as possible to register the financial commitment, and waiting until the invoice is received before entering onto the system is not acceptable.</w:t>
            </w:r>
          </w:p>
        </w:tc>
      </w:tr>
      <w:tr w:rsidR="00457A46" w:rsidRPr="00543F9A" w14:paraId="45D2A1C3" w14:textId="77777777" w:rsidTr="000F4B83">
        <w:tc>
          <w:tcPr>
            <w:tcW w:w="2489" w:type="dxa"/>
          </w:tcPr>
          <w:p w14:paraId="7203C46A" w14:textId="323CE627" w:rsidR="00457A46" w:rsidRDefault="00C90B2B" w:rsidP="00BB4511">
            <w:pPr>
              <w:pStyle w:val="PlainText"/>
              <w:rPr>
                <w:rFonts w:ascii="Times New Roman" w:hAnsi="Times New Roman"/>
                <w:sz w:val="21"/>
                <w:szCs w:val="21"/>
              </w:rPr>
            </w:pPr>
            <w:r>
              <w:rPr>
                <w:rFonts w:ascii="Times New Roman" w:hAnsi="Times New Roman"/>
                <w:sz w:val="21"/>
                <w:szCs w:val="21"/>
              </w:rPr>
              <w:t>IT</w:t>
            </w:r>
          </w:p>
        </w:tc>
        <w:tc>
          <w:tcPr>
            <w:tcW w:w="6527" w:type="dxa"/>
          </w:tcPr>
          <w:p w14:paraId="15930FD2" w14:textId="57FE8276" w:rsidR="00457A46" w:rsidRDefault="00C90B2B" w:rsidP="00D34AA9">
            <w:pPr>
              <w:pStyle w:val="PlainText"/>
              <w:jc w:val="both"/>
              <w:rPr>
                <w:rFonts w:ascii="Times New Roman" w:hAnsi="Times New Roman"/>
                <w:sz w:val="21"/>
                <w:szCs w:val="21"/>
              </w:rPr>
            </w:pPr>
            <w:r>
              <w:rPr>
                <w:rFonts w:ascii="Times New Roman" w:hAnsi="Times New Roman"/>
                <w:sz w:val="21"/>
                <w:szCs w:val="21"/>
              </w:rPr>
              <w:t>We recommend introducing multi-factor authentication across all accounts</w:t>
            </w:r>
            <w:r w:rsidR="0018641E">
              <w:rPr>
                <w:rFonts w:ascii="Times New Roman" w:hAnsi="Times New Roman"/>
                <w:sz w:val="21"/>
                <w:szCs w:val="21"/>
              </w:rPr>
              <w:t xml:space="preserve">. We recommend a cyber response plan is put in place. </w:t>
            </w:r>
          </w:p>
        </w:tc>
      </w:tr>
      <w:tr w:rsidR="0019708D" w:rsidRPr="00543F9A" w14:paraId="2538B799" w14:textId="77777777" w:rsidTr="000F4B83">
        <w:tc>
          <w:tcPr>
            <w:tcW w:w="2489" w:type="dxa"/>
          </w:tcPr>
          <w:p w14:paraId="150508B8" w14:textId="2606FC8B" w:rsidR="0019708D" w:rsidRDefault="0019708D" w:rsidP="00BB4511">
            <w:pPr>
              <w:pStyle w:val="PlainText"/>
              <w:rPr>
                <w:rFonts w:ascii="Times New Roman" w:hAnsi="Times New Roman"/>
                <w:sz w:val="21"/>
                <w:szCs w:val="21"/>
              </w:rPr>
            </w:pPr>
            <w:r>
              <w:rPr>
                <w:rFonts w:ascii="Times New Roman" w:hAnsi="Times New Roman"/>
                <w:sz w:val="21"/>
                <w:szCs w:val="21"/>
              </w:rPr>
              <w:t>Payroll</w:t>
            </w:r>
          </w:p>
        </w:tc>
        <w:tc>
          <w:tcPr>
            <w:tcW w:w="6527" w:type="dxa"/>
          </w:tcPr>
          <w:p w14:paraId="7D2C3D4D" w14:textId="52E6B796" w:rsidR="0019708D" w:rsidRDefault="004F0D14" w:rsidP="00D34AA9">
            <w:pPr>
              <w:pStyle w:val="PlainText"/>
              <w:jc w:val="both"/>
              <w:rPr>
                <w:rFonts w:ascii="Times New Roman" w:hAnsi="Times New Roman"/>
                <w:sz w:val="21"/>
                <w:szCs w:val="21"/>
              </w:rPr>
            </w:pPr>
            <w:r>
              <w:rPr>
                <w:rFonts w:ascii="Times New Roman" w:hAnsi="Times New Roman"/>
                <w:sz w:val="21"/>
                <w:szCs w:val="21"/>
              </w:rPr>
              <w:t>Ensure the payroll posting by FMS is correct. Currently</w:t>
            </w:r>
            <w:r w:rsidR="00A76665">
              <w:rPr>
                <w:rFonts w:ascii="Times New Roman" w:hAnsi="Times New Roman"/>
                <w:sz w:val="21"/>
                <w:szCs w:val="21"/>
              </w:rPr>
              <w:t xml:space="preserve">, for additional hours, </w:t>
            </w:r>
            <w:r>
              <w:rPr>
                <w:rFonts w:ascii="Times New Roman" w:hAnsi="Times New Roman"/>
                <w:sz w:val="21"/>
                <w:szCs w:val="21"/>
              </w:rPr>
              <w:t xml:space="preserve">it posts </w:t>
            </w:r>
            <w:r w:rsidR="00A76665">
              <w:rPr>
                <w:rFonts w:ascii="Times New Roman" w:hAnsi="Times New Roman"/>
                <w:sz w:val="21"/>
                <w:szCs w:val="21"/>
              </w:rPr>
              <w:t>the total of the pay,</w:t>
            </w:r>
            <w:r>
              <w:rPr>
                <w:rFonts w:ascii="Times New Roman" w:hAnsi="Times New Roman"/>
                <w:sz w:val="21"/>
                <w:szCs w:val="21"/>
              </w:rPr>
              <w:t xml:space="preserve"> pension and NI into the </w:t>
            </w:r>
            <w:r w:rsidR="00A76665">
              <w:rPr>
                <w:rFonts w:ascii="Times New Roman" w:hAnsi="Times New Roman"/>
                <w:sz w:val="21"/>
                <w:szCs w:val="21"/>
              </w:rPr>
              <w:t xml:space="preserve">gross </w:t>
            </w:r>
            <w:r>
              <w:rPr>
                <w:rFonts w:ascii="Times New Roman" w:hAnsi="Times New Roman"/>
                <w:sz w:val="21"/>
                <w:szCs w:val="21"/>
              </w:rPr>
              <w:t xml:space="preserve">pay </w:t>
            </w:r>
            <w:r w:rsidR="00A76665">
              <w:rPr>
                <w:rFonts w:ascii="Times New Roman" w:hAnsi="Times New Roman"/>
                <w:sz w:val="21"/>
                <w:szCs w:val="21"/>
              </w:rPr>
              <w:t xml:space="preserve">nominal </w:t>
            </w:r>
            <w:r>
              <w:rPr>
                <w:rFonts w:ascii="Times New Roman" w:hAnsi="Times New Roman"/>
                <w:sz w:val="21"/>
                <w:szCs w:val="21"/>
              </w:rPr>
              <w:t>which is incorrect</w:t>
            </w:r>
            <w:r w:rsidR="00A76665">
              <w:rPr>
                <w:rFonts w:ascii="Times New Roman" w:hAnsi="Times New Roman"/>
                <w:sz w:val="21"/>
                <w:szCs w:val="21"/>
              </w:rPr>
              <w:t xml:space="preserve"> and should be split out.</w:t>
            </w:r>
          </w:p>
        </w:tc>
      </w:tr>
      <w:tr w:rsidR="00804612" w:rsidRPr="00543F9A" w14:paraId="3F383097" w14:textId="77777777" w:rsidTr="000F4B83">
        <w:tc>
          <w:tcPr>
            <w:tcW w:w="2489" w:type="dxa"/>
          </w:tcPr>
          <w:p w14:paraId="36545389" w14:textId="7A114029" w:rsidR="00804612" w:rsidRDefault="00804612" w:rsidP="00BB4511">
            <w:pPr>
              <w:pStyle w:val="PlainText"/>
              <w:rPr>
                <w:rFonts w:ascii="Times New Roman" w:hAnsi="Times New Roman"/>
                <w:sz w:val="21"/>
                <w:szCs w:val="21"/>
              </w:rPr>
            </w:pPr>
            <w:r>
              <w:rPr>
                <w:rFonts w:ascii="Times New Roman" w:hAnsi="Times New Roman"/>
                <w:sz w:val="21"/>
                <w:szCs w:val="21"/>
              </w:rPr>
              <w:t>Website</w:t>
            </w:r>
          </w:p>
        </w:tc>
        <w:tc>
          <w:tcPr>
            <w:tcW w:w="6527" w:type="dxa"/>
          </w:tcPr>
          <w:p w14:paraId="5C157BB8" w14:textId="7BDF3DB5" w:rsidR="00804612" w:rsidRDefault="00804612" w:rsidP="00D34AA9">
            <w:pPr>
              <w:pStyle w:val="PlainText"/>
              <w:jc w:val="both"/>
              <w:rPr>
                <w:rFonts w:ascii="Times New Roman" w:hAnsi="Times New Roman"/>
                <w:sz w:val="21"/>
                <w:szCs w:val="21"/>
              </w:rPr>
            </w:pPr>
            <w:r>
              <w:rPr>
                <w:rFonts w:ascii="Times New Roman" w:hAnsi="Times New Roman"/>
                <w:sz w:val="21"/>
                <w:szCs w:val="21"/>
              </w:rPr>
              <w:t xml:space="preserve">We recommend </w:t>
            </w:r>
            <w:r w:rsidR="00843601">
              <w:rPr>
                <w:rFonts w:ascii="Times New Roman" w:hAnsi="Times New Roman"/>
                <w:sz w:val="21"/>
                <w:szCs w:val="21"/>
              </w:rPr>
              <w:t>that</w:t>
            </w:r>
            <w:r w:rsidR="0001590C">
              <w:rPr>
                <w:rFonts w:ascii="Times New Roman" w:hAnsi="Times New Roman"/>
                <w:sz w:val="21"/>
                <w:szCs w:val="21"/>
              </w:rPr>
              <w:t xml:space="preserve"> your whistleblowing policy </w:t>
            </w:r>
            <w:r w:rsidR="00843601">
              <w:rPr>
                <w:rFonts w:ascii="Times New Roman" w:hAnsi="Times New Roman"/>
                <w:sz w:val="21"/>
                <w:szCs w:val="21"/>
              </w:rPr>
              <w:t>is published on your website</w:t>
            </w:r>
            <w:r w:rsidR="0001590C">
              <w:rPr>
                <w:rFonts w:ascii="Times New Roman" w:hAnsi="Times New Roman"/>
                <w:sz w:val="21"/>
                <w:szCs w:val="21"/>
              </w:rPr>
              <w:t xml:space="preserve">, as recommended by the </w:t>
            </w:r>
            <w:r w:rsidR="00AC203F">
              <w:rPr>
                <w:rFonts w:ascii="Times New Roman" w:hAnsi="Times New Roman"/>
                <w:sz w:val="21"/>
                <w:szCs w:val="21"/>
              </w:rPr>
              <w:t>DofE.</w:t>
            </w:r>
          </w:p>
        </w:tc>
      </w:tr>
    </w:tbl>
    <w:p w14:paraId="6DDA0A95" w14:textId="260DEB1A" w:rsidR="00EA20F7" w:rsidRPr="00543F9A" w:rsidRDefault="00EA20F7" w:rsidP="00581538">
      <w:pPr>
        <w:jc w:val="center"/>
        <w:rPr>
          <w:sz w:val="21"/>
          <w:szCs w:val="21"/>
        </w:rPr>
      </w:pPr>
    </w:p>
    <w:p w14:paraId="1A96D344" w14:textId="77777777" w:rsidR="001020D8" w:rsidRPr="00543F9A" w:rsidRDefault="001020D8" w:rsidP="00482709">
      <w:pPr>
        <w:rPr>
          <w:sz w:val="21"/>
          <w:szCs w:val="21"/>
        </w:rPr>
      </w:pPr>
    </w:p>
    <w:p w14:paraId="2733A75B" w14:textId="77777777" w:rsidR="001020D8" w:rsidRPr="00543F9A" w:rsidRDefault="001020D8" w:rsidP="00482709">
      <w:pPr>
        <w:rPr>
          <w:sz w:val="21"/>
          <w:szCs w:val="21"/>
        </w:rPr>
      </w:pPr>
    </w:p>
    <w:p w14:paraId="03A804C3" w14:textId="77777777" w:rsidR="00834873" w:rsidRPr="00543F9A" w:rsidRDefault="00E06796" w:rsidP="00482709">
      <w:pPr>
        <w:rPr>
          <w:sz w:val="21"/>
          <w:szCs w:val="21"/>
        </w:rPr>
      </w:pPr>
      <w:r w:rsidRPr="00543F9A">
        <w:rPr>
          <w:sz w:val="21"/>
          <w:szCs w:val="21"/>
        </w:rPr>
        <w:t>This information is provided purely for management purposes and although</w:t>
      </w:r>
      <w:r w:rsidR="00834873" w:rsidRPr="00543F9A">
        <w:rPr>
          <w:sz w:val="21"/>
          <w:szCs w:val="21"/>
        </w:rPr>
        <w:t xml:space="preserve">, where requested, </w:t>
      </w:r>
      <w:r w:rsidRPr="00543F9A">
        <w:rPr>
          <w:sz w:val="21"/>
          <w:szCs w:val="21"/>
        </w:rPr>
        <w:t>we will discuss the content of this letter with management</w:t>
      </w:r>
      <w:r w:rsidR="00834873" w:rsidRPr="00543F9A">
        <w:rPr>
          <w:sz w:val="21"/>
          <w:szCs w:val="21"/>
        </w:rPr>
        <w:t xml:space="preserve"> </w:t>
      </w:r>
      <w:r w:rsidRPr="00543F9A">
        <w:rPr>
          <w:sz w:val="21"/>
          <w:szCs w:val="21"/>
        </w:rPr>
        <w:t xml:space="preserve">these are matters that under </w:t>
      </w:r>
      <w:r w:rsidR="00834873" w:rsidRPr="00543F9A">
        <w:rPr>
          <w:sz w:val="21"/>
          <w:szCs w:val="21"/>
        </w:rPr>
        <w:t>International Auditing Standards need not be communicated in writing.</w:t>
      </w:r>
    </w:p>
    <w:p w14:paraId="5FCB50E1" w14:textId="77777777" w:rsidR="00834873" w:rsidRPr="00543F9A" w:rsidRDefault="00834873" w:rsidP="00482709">
      <w:pPr>
        <w:rPr>
          <w:sz w:val="21"/>
          <w:szCs w:val="21"/>
        </w:rPr>
      </w:pPr>
    </w:p>
    <w:p w14:paraId="15EAAFBE" w14:textId="77777777" w:rsidR="00834873" w:rsidRPr="00543F9A" w:rsidRDefault="00834873" w:rsidP="00482709">
      <w:pPr>
        <w:rPr>
          <w:sz w:val="21"/>
          <w:szCs w:val="21"/>
        </w:rPr>
      </w:pPr>
      <w:r w:rsidRPr="00543F9A">
        <w:rPr>
          <w:sz w:val="21"/>
          <w:szCs w:val="21"/>
        </w:rPr>
        <w:t>Yours Faithfully</w:t>
      </w:r>
    </w:p>
    <w:p w14:paraId="6764C3FE" w14:textId="77777777" w:rsidR="00E13C78" w:rsidRPr="00543F9A" w:rsidRDefault="00834873" w:rsidP="00482709">
      <w:pPr>
        <w:rPr>
          <w:sz w:val="21"/>
          <w:szCs w:val="21"/>
        </w:rPr>
      </w:pPr>
      <w:r w:rsidRPr="00543F9A">
        <w:rPr>
          <w:sz w:val="21"/>
          <w:szCs w:val="21"/>
        </w:rPr>
        <w:t xml:space="preserve">MWS </w:t>
      </w:r>
      <w:r w:rsidR="00E06796" w:rsidRPr="00543F9A">
        <w:rPr>
          <w:sz w:val="21"/>
          <w:szCs w:val="21"/>
        </w:rPr>
        <w:t xml:space="preserve">  </w:t>
      </w:r>
    </w:p>
    <w:sectPr w:rsidR="00E13C78" w:rsidRPr="00543F9A" w:rsidSect="0058153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8122" w14:textId="77777777" w:rsidR="00EC184C" w:rsidRDefault="00EC184C" w:rsidP="00FD4724">
      <w:r>
        <w:separator/>
      </w:r>
    </w:p>
  </w:endnote>
  <w:endnote w:type="continuationSeparator" w:id="0">
    <w:p w14:paraId="1D21278A" w14:textId="77777777" w:rsidR="00EC184C" w:rsidRDefault="00EC184C" w:rsidP="00FD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407C" w14:textId="77777777" w:rsidR="00414020" w:rsidRDefault="00414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5A2B" w14:textId="77777777" w:rsidR="00414020" w:rsidRDefault="00414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357C" w14:textId="77777777" w:rsidR="00414020" w:rsidRDefault="00414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D0C7" w14:textId="77777777" w:rsidR="00EC184C" w:rsidRDefault="00EC184C" w:rsidP="00FD4724">
      <w:r>
        <w:separator/>
      </w:r>
    </w:p>
  </w:footnote>
  <w:footnote w:type="continuationSeparator" w:id="0">
    <w:p w14:paraId="5C75EEFB" w14:textId="77777777" w:rsidR="00EC184C" w:rsidRDefault="00EC184C" w:rsidP="00FD4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3F9B" w14:textId="77777777" w:rsidR="00414020" w:rsidRDefault="00414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4C41" w14:textId="0C95ED48" w:rsidR="00FD4724" w:rsidRPr="00543F9A" w:rsidRDefault="00586B7F" w:rsidP="00FD4724">
    <w:pPr>
      <w:jc w:val="center"/>
      <w:rPr>
        <w:sz w:val="21"/>
        <w:szCs w:val="21"/>
      </w:rPr>
    </w:pPr>
    <w:sdt>
      <w:sdtPr>
        <w:rPr>
          <w:sz w:val="21"/>
          <w:szCs w:val="21"/>
        </w:rPr>
        <w:id w:val="-579293917"/>
        <w:docPartObj>
          <w:docPartGallery w:val="Watermarks"/>
          <w:docPartUnique/>
        </w:docPartObj>
      </w:sdtPr>
      <w:sdtEndPr/>
      <w:sdtContent>
        <w:r>
          <w:rPr>
            <w:noProof/>
            <w:sz w:val="21"/>
            <w:szCs w:val="21"/>
          </w:rPr>
          <w:pict w14:anchorId="72084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4724" w:rsidRPr="00543F9A">
      <w:rPr>
        <w:sz w:val="21"/>
        <w:szCs w:val="21"/>
      </w:rPr>
      <w:t>-2-</w:t>
    </w:r>
  </w:p>
  <w:p w14:paraId="696FFFBA" w14:textId="77777777" w:rsidR="00FD4724" w:rsidRDefault="00FD4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C292" w14:textId="77777777" w:rsidR="00414020" w:rsidRDefault="00414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09"/>
    <w:rsid w:val="0001590C"/>
    <w:rsid w:val="00036C8B"/>
    <w:rsid w:val="00077324"/>
    <w:rsid w:val="000F4B83"/>
    <w:rsid w:val="001020D8"/>
    <w:rsid w:val="00121206"/>
    <w:rsid w:val="001237BD"/>
    <w:rsid w:val="00135A3B"/>
    <w:rsid w:val="00164E8A"/>
    <w:rsid w:val="00172568"/>
    <w:rsid w:val="00176114"/>
    <w:rsid w:val="001774C0"/>
    <w:rsid w:val="0018641E"/>
    <w:rsid w:val="0019708D"/>
    <w:rsid w:val="00197D79"/>
    <w:rsid w:val="001C4000"/>
    <w:rsid w:val="001C7663"/>
    <w:rsid w:val="001C7DCF"/>
    <w:rsid w:val="00217EF9"/>
    <w:rsid w:val="00232349"/>
    <w:rsid w:val="00272711"/>
    <w:rsid w:val="00290C74"/>
    <w:rsid w:val="00293987"/>
    <w:rsid w:val="002C0CD0"/>
    <w:rsid w:val="002D7591"/>
    <w:rsid w:val="002E70C1"/>
    <w:rsid w:val="003134FB"/>
    <w:rsid w:val="00335A03"/>
    <w:rsid w:val="00335F75"/>
    <w:rsid w:val="00393D75"/>
    <w:rsid w:val="00414020"/>
    <w:rsid w:val="0045437A"/>
    <w:rsid w:val="00457A46"/>
    <w:rsid w:val="00482709"/>
    <w:rsid w:val="00491B7D"/>
    <w:rsid w:val="004F0D14"/>
    <w:rsid w:val="005057E9"/>
    <w:rsid w:val="005103BA"/>
    <w:rsid w:val="00543F9A"/>
    <w:rsid w:val="00553B26"/>
    <w:rsid w:val="005569AD"/>
    <w:rsid w:val="00581538"/>
    <w:rsid w:val="00586B7F"/>
    <w:rsid w:val="00591495"/>
    <w:rsid w:val="00595FE3"/>
    <w:rsid w:val="005C7D75"/>
    <w:rsid w:val="005E76E6"/>
    <w:rsid w:val="0064717E"/>
    <w:rsid w:val="00694B70"/>
    <w:rsid w:val="006B7B52"/>
    <w:rsid w:val="006F7142"/>
    <w:rsid w:val="00765567"/>
    <w:rsid w:val="00766111"/>
    <w:rsid w:val="007F551C"/>
    <w:rsid w:val="00804612"/>
    <w:rsid w:val="00834873"/>
    <w:rsid w:val="00843601"/>
    <w:rsid w:val="00890102"/>
    <w:rsid w:val="00892BF4"/>
    <w:rsid w:val="008C4B86"/>
    <w:rsid w:val="008C534F"/>
    <w:rsid w:val="009278DB"/>
    <w:rsid w:val="00931177"/>
    <w:rsid w:val="0097333D"/>
    <w:rsid w:val="00982D13"/>
    <w:rsid w:val="009C5C66"/>
    <w:rsid w:val="009D5DEA"/>
    <w:rsid w:val="009E1291"/>
    <w:rsid w:val="009E26C7"/>
    <w:rsid w:val="009F077F"/>
    <w:rsid w:val="009F65D6"/>
    <w:rsid w:val="00A518AC"/>
    <w:rsid w:val="00A76665"/>
    <w:rsid w:val="00AC203F"/>
    <w:rsid w:val="00AE5932"/>
    <w:rsid w:val="00B503BB"/>
    <w:rsid w:val="00B96B53"/>
    <w:rsid w:val="00BB33BF"/>
    <w:rsid w:val="00BB4511"/>
    <w:rsid w:val="00C247BE"/>
    <w:rsid w:val="00C403A8"/>
    <w:rsid w:val="00C67844"/>
    <w:rsid w:val="00C704EE"/>
    <w:rsid w:val="00C7387D"/>
    <w:rsid w:val="00C90B2B"/>
    <w:rsid w:val="00CB5B4C"/>
    <w:rsid w:val="00D14B05"/>
    <w:rsid w:val="00D24492"/>
    <w:rsid w:val="00D34AA9"/>
    <w:rsid w:val="00D45F0C"/>
    <w:rsid w:val="00D931A0"/>
    <w:rsid w:val="00DC2C4D"/>
    <w:rsid w:val="00DE5127"/>
    <w:rsid w:val="00E06796"/>
    <w:rsid w:val="00E13C78"/>
    <w:rsid w:val="00E82CA8"/>
    <w:rsid w:val="00E86067"/>
    <w:rsid w:val="00E92A01"/>
    <w:rsid w:val="00EA0D8D"/>
    <w:rsid w:val="00EA20F7"/>
    <w:rsid w:val="00EB34E2"/>
    <w:rsid w:val="00EC184C"/>
    <w:rsid w:val="00F03FE8"/>
    <w:rsid w:val="00F64515"/>
    <w:rsid w:val="00FA2530"/>
    <w:rsid w:val="00FD4724"/>
    <w:rsid w:val="00FE6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3C545"/>
  <w15:docId w15:val="{B082468C-E644-4BD1-A4EE-F655B5F0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70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82709"/>
    <w:rPr>
      <w:rFonts w:ascii="Courier New" w:hAnsi="Courier New"/>
      <w:sz w:val="20"/>
    </w:rPr>
  </w:style>
  <w:style w:type="character" w:customStyle="1" w:styleId="PlainTextChar">
    <w:name w:val="Plain Text Char"/>
    <w:basedOn w:val="DefaultParagraphFont"/>
    <w:link w:val="PlainText"/>
    <w:rsid w:val="00482709"/>
    <w:rPr>
      <w:rFonts w:ascii="Courier New" w:eastAsia="Times New Roman" w:hAnsi="Courier New" w:cs="Times New Roman"/>
      <w:sz w:val="20"/>
      <w:szCs w:val="20"/>
    </w:rPr>
  </w:style>
  <w:style w:type="table" w:styleId="TableGrid">
    <w:name w:val="Table Grid"/>
    <w:basedOn w:val="TableNormal"/>
    <w:uiPriority w:val="59"/>
    <w:rsid w:val="00B9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724"/>
    <w:pPr>
      <w:tabs>
        <w:tab w:val="center" w:pos="4513"/>
        <w:tab w:val="right" w:pos="9026"/>
      </w:tabs>
    </w:pPr>
  </w:style>
  <w:style w:type="character" w:customStyle="1" w:styleId="HeaderChar">
    <w:name w:val="Header Char"/>
    <w:basedOn w:val="DefaultParagraphFont"/>
    <w:link w:val="Header"/>
    <w:uiPriority w:val="99"/>
    <w:rsid w:val="00FD4724"/>
    <w:rPr>
      <w:rFonts w:ascii="Times New Roman" w:eastAsia="Times New Roman" w:hAnsi="Times New Roman" w:cs="Times New Roman"/>
      <w:szCs w:val="20"/>
    </w:rPr>
  </w:style>
  <w:style w:type="paragraph" w:styleId="Footer">
    <w:name w:val="footer"/>
    <w:basedOn w:val="Normal"/>
    <w:link w:val="FooterChar"/>
    <w:uiPriority w:val="99"/>
    <w:unhideWhenUsed/>
    <w:rsid w:val="00FD4724"/>
    <w:pPr>
      <w:tabs>
        <w:tab w:val="center" w:pos="4513"/>
        <w:tab w:val="right" w:pos="9026"/>
      </w:tabs>
    </w:pPr>
  </w:style>
  <w:style w:type="character" w:customStyle="1" w:styleId="FooterChar">
    <w:name w:val="Footer Char"/>
    <w:basedOn w:val="DefaultParagraphFont"/>
    <w:link w:val="Footer"/>
    <w:uiPriority w:val="99"/>
    <w:rsid w:val="00FD472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ed97f7-03f1-4725-9193-dc73d762c266">
      <Terms xmlns="http://schemas.microsoft.com/office/infopath/2007/PartnerControls"/>
    </lcf76f155ced4ddcb4097134ff3c332f>
    <TaxCatchAll xmlns="de56a54f-17fc-4a3a-951b-15bd92ca39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2ED0AF8B505478DE5DA7206820B34" ma:contentTypeVersion="16" ma:contentTypeDescription="Create a new document." ma:contentTypeScope="" ma:versionID="2cad3c8287c764fb14e0466a6929eec5">
  <xsd:schema xmlns:xsd="http://www.w3.org/2001/XMLSchema" xmlns:xs="http://www.w3.org/2001/XMLSchema" xmlns:p="http://schemas.microsoft.com/office/2006/metadata/properties" xmlns:ns2="c1ed97f7-03f1-4725-9193-dc73d762c266" xmlns:ns3="de56a54f-17fc-4a3a-951b-15bd92ca394a" targetNamespace="http://schemas.microsoft.com/office/2006/metadata/properties" ma:root="true" ma:fieldsID="b92747fc5735c3f373c1a2709fd15005" ns2:_="" ns3:_="">
    <xsd:import namespace="c1ed97f7-03f1-4725-9193-dc73d762c266"/>
    <xsd:import namespace="de56a54f-17fc-4a3a-951b-15bd92ca39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d97f7-03f1-4725-9193-dc73d762c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69c573f-71f3-4fe9-8967-a494978e193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6a54f-17fc-4a3a-951b-15bd92ca394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e809a4d-67cc-4e78-8b43-a8684fdab825}" ma:internalName="TaxCatchAll" ma:showField="CatchAllData" ma:web="de56a54f-17fc-4a3a-951b-15bd92ca394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4EFCB-6D06-4423-8F7F-356A146F2B34}">
  <ds:schemaRefs>
    <ds:schemaRef ds:uri="http://schemas.microsoft.com/sharepoint/v3/contenttype/forms"/>
  </ds:schemaRefs>
</ds:datastoreItem>
</file>

<file path=customXml/itemProps2.xml><?xml version="1.0" encoding="utf-8"?>
<ds:datastoreItem xmlns:ds="http://schemas.openxmlformats.org/officeDocument/2006/customXml" ds:itemID="{BE923329-3FE8-4414-B976-CC6E06629400}">
  <ds:schemaRefs>
    <ds:schemaRef ds:uri="http://schemas.openxmlformats.org/package/2006/metadata/core-properties"/>
    <ds:schemaRef ds:uri="http://schemas.microsoft.com/office/2006/documentManagement/types"/>
    <ds:schemaRef ds:uri="http://purl.org/dc/elements/1.1/"/>
    <ds:schemaRef ds:uri="http://purl.org/dc/dcmitype/"/>
    <ds:schemaRef ds:uri="c1ed97f7-03f1-4725-9193-dc73d762c266"/>
    <ds:schemaRef ds:uri="http://purl.org/dc/terms/"/>
    <ds:schemaRef ds:uri="http://schemas.microsoft.com/office/infopath/2007/PartnerControls"/>
    <ds:schemaRef ds:uri="de56a54f-17fc-4a3a-951b-15bd92ca394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2D20583-97F2-41AA-9A12-60BF41FEF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d97f7-03f1-4725-9193-dc73d762c266"/>
    <ds:schemaRef ds:uri="de56a54f-17fc-4a3a-951b-15bd92ca3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Lamont</dc:creator>
  <cp:lastModifiedBy>Sophie Roby-Smith</cp:lastModifiedBy>
  <cp:revision>19</cp:revision>
  <cp:lastPrinted>2021-12-14T16:44:00Z</cp:lastPrinted>
  <dcterms:created xsi:type="dcterms:W3CDTF">2023-12-07T16:03:00Z</dcterms:created>
  <dcterms:modified xsi:type="dcterms:W3CDTF">2023-12-08T15:37:00Z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0x0101006E72ED0AF8B505478DE5DA7206820B34</vt:lpwstr>
  </property>
  <property fmtid="{D5CDD505-2E9C-101B-9397-08002B2CF9AE}" pid="3" name="Order">
    <vt:r8>1496200</vt:r8>
  </property>
  <property fmtid="{D5CDD505-2E9C-101B-9397-08002B2CF9AE}" pid="4" name="MediaServiceImageTags">
    <vt:lpwstr/>
  </property>
</Properties>
</file>