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F3" w:rsidRDefault="00553C26" w:rsidP="009074D7">
      <w:pPr>
        <w:jc w:val="both"/>
        <w:rPr>
          <w:b/>
        </w:rPr>
      </w:pPr>
      <w:r w:rsidRPr="00553C26">
        <w:rPr>
          <w:b/>
        </w:rPr>
        <w:t xml:space="preserve">Appendix </w:t>
      </w:r>
      <w:r w:rsidR="00C13606">
        <w:rPr>
          <w:b/>
        </w:rPr>
        <w:t>E</w:t>
      </w:r>
    </w:p>
    <w:p w:rsidR="00553C26" w:rsidRPr="00553C26" w:rsidRDefault="00553C26" w:rsidP="009074D7">
      <w:pPr>
        <w:jc w:val="both"/>
        <w:rPr>
          <w:b/>
        </w:rPr>
      </w:pPr>
    </w:p>
    <w:p w:rsidR="009074D7" w:rsidRDefault="006D473D" w:rsidP="00BB4998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 xml:space="preserve">A minimum of </w:t>
      </w:r>
      <w:r w:rsidR="006D473D">
        <w:t xml:space="preserve">six </w:t>
      </w:r>
      <w:r w:rsidR="009074D7">
        <w:t xml:space="preserve">Governors </w:t>
      </w:r>
      <w:r w:rsidR="002D483A">
        <w:t>plus</w:t>
      </w:r>
      <w:r w:rsidR="009074D7">
        <w:t xml:space="preserve"> the </w:t>
      </w:r>
      <w:proofErr w:type="spellStart"/>
      <w:r w:rsidR="009074D7">
        <w:t>Headteacher</w:t>
      </w:r>
      <w:proofErr w:type="spellEnd"/>
      <w:r w:rsidR="009074D7">
        <w:t xml:space="preserve">.  The </w:t>
      </w:r>
      <w:r w:rsidR="008F4437">
        <w:t>Business Manager</w:t>
      </w:r>
      <w:r w:rsidR="009074D7">
        <w:t xml:space="preserve"> 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>A</w:t>
      </w:r>
      <w:r w:rsidR="006D473D">
        <w:t>ny</w:t>
      </w:r>
      <w:r>
        <w:t xml:space="preserve"> Governor</w:t>
      </w:r>
      <w:r w:rsidR="006D473D">
        <w:t xml:space="preserve"> serving the committee</w:t>
      </w:r>
      <w:r w:rsidR="00741D5D">
        <w:t xml:space="preserve"> other than the </w:t>
      </w:r>
      <w:proofErr w:type="spellStart"/>
      <w:r w:rsidR="00741D5D">
        <w:t>Headteacher</w:t>
      </w:r>
      <w:proofErr w:type="spellEnd"/>
      <w:r w:rsidR="00741D5D">
        <w:t>, but usually the Vice Chair of the Governing Body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6D473D">
        <w:t>Finance &amp; Premises Assistant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41D5D" w:rsidP="009074D7">
      <w:pPr>
        <w:jc w:val="both"/>
      </w:pPr>
      <w:r>
        <w:t>Three</w:t>
      </w:r>
      <w:r w:rsidR="00792881">
        <w:t xml:space="preserve"> members </w:t>
      </w:r>
      <w:r w:rsidR="006D473D">
        <w:t>excluding</w:t>
      </w:r>
      <w:r w:rsidR="002D483A">
        <w:t xml:space="preserve"> the </w:t>
      </w:r>
      <w:proofErr w:type="spellStart"/>
      <w:r w:rsidR="00792881">
        <w:t>Headteacher</w:t>
      </w:r>
      <w:proofErr w:type="spellEnd"/>
      <w:r w:rsidR="006D473D">
        <w:t xml:space="preserve"> and Staff Governors</w:t>
      </w:r>
      <w:r w:rsidR="00792881"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 regular reports on the School’s income and expenditure showing a comparison of these against the annual budget</w:t>
      </w:r>
      <w:r w:rsidR="004B5737">
        <w:t xml:space="preserve">, </w:t>
      </w:r>
      <w:proofErr w:type="spellStart"/>
      <w:r w:rsidR="004B5737">
        <w:t>cashflow</w:t>
      </w:r>
      <w:proofErr w:type="spellEnd"/>
      <w:r w:rsidR="004B5737">
        <w:t xml:space="preserve"> and financial forecasts beyond one year</w:t>
      </w:r>
    </w:p>
    <w:p w:rsidR="009A58C8" w:rsidRDefault="0049004D" w:rsidP="009A58C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8F4437" w:rsidRDefault="008F443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</w:t>
      </w:r>
      <w:r w:rsidR="009A58C8">
        <w:t xml:space="preserve"> </w:t>
      </w:r>
      <w:r>
        <w:t xml:space="preserve">receive regular reports </w:t>
      </w:r>
      <w:r w:rsidR="00741D5D">
        <w:t>on Internal Control systems from Essex Financial Services via the Business Manager</w:t>
      </w:r>
      <w:r>
        <w:t>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review the financial procedures within the School, taking into account any recommendations made </w:t>
      </w:r>
      <w:r w:rsidR="00741D5D">
        <w:t xml:space="preserve">in Internal Control review reports and </w:t>
      </w:r>
      <w:r>
        <w:t>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agree </w:t>
      </w:r>
      <w:proofErr w:type="spellStart"/>
      <w:r>
        <w:t>virements</w:t>
      </w:r>
      <w:proofErr w:type="spellEnd"/>
      <w:r>
        <w:t xml:space="preserve"> between budgets.</w:t>
      </w:r>
    </w:p>
    <w:p w:rsidR="009A58C8" w:rsidRDefault="009A58C8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Quality assuring the process of appointing</w:t>
      </w:r>
      <w:r w:rsidRPr="004570AD">
        <w:t xml:space="preserve"> the </w:t>
      </w:r>
      <w:proofErr w:type="spellStart"/>
      <w:r w:rsidRPr="004570AD">
        <w:t>Headteacher</w:t>
      </w:r>
      <w:proofErr w:type="spellEnd"/>
      <w:r w:rsidRPr="004570AD">
        <w:t xml:space="preserve"> and the Business Manager</w:t>
      </w:r>
    </w:p>
    <w:p w:rsidR="00DC7E6F" w:rsidRDefault="00DC7E6F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Receive reports f</w:t>
      </w:r>
      <w:r w:rsidR="00741D5D">
        <w:t>rom</w:t>
      </w:r>
      <w:r>
        <w:t xml:space="preserve"> the Health and safety Committee</w:t>
      </w:r>
    </w:p>
    <w:p w:rsidR="006D473D" w:rsidRDefault="00CC708B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to the Governing Body any changes necessary to fulfil current employment legislation.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lastRenderedPageBreak/>
        <w:t>To receive, consider and make recommendations to the Governing Body on the overall staffing provision of the School, including the management structure and any redundancy proposals.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the names of Governors to the Governing Body to serve on the selection panel for any Head or Deputy Head appointment.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monitor the implementation of the teacher appraisal and performance review arrangements.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ensure that arrangements are in place for the induction of new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oversee the INSET provision for both teaching and support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consider dates for terms and holidays including five INSET days each year and recommend these to the full Governors for formal determination.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ensure that all staff are advised of their pension rights.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the adoption of policies related to equal opportunities and diversity in relation to the staff of the School.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offer a route for formal feedback from staff leaving the School.</w:t>
      </w:r>
    </w:p>
    <w:p w:rsidR="006D473D" w:rsidRP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consider any other matters relating to the terms and conditions of employment of all staff at the School.</w:t>
      </w:r>
    </w:p>
    <w:p w:rsidR="006D473D" w:rsidRPr="006D473D" w:rsidRDefault="006D473D" w:rsidP="006D473D">
      <w:pPr>
        <w:pStyle w:val="ListParagraph"/>
        <w:jc w:val="both"/>
        <w:rPr>
          <w:b/>
        </w:rPr>
      </w:pPr>
    </w:p>
    <w:p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addition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bookmarkEnd w:id="0"/>
    <w:p w:rsidR="006D473D" w:rsidRPr="00DB41F3" w:rsidRDefault="006D473D" w:rsidP="00DB41F3"/>
    <w:sectPr w:rsidR="006D473D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9F" w:rsidRDefault="00F97A9F" w:rsidP="00DB41F3">
      <w:r>
        <w:separator/>
      </w:r>
    </w:p>
  </w:endnote>
  <w:endnote w:type="continuationSeparator" w:id="0">
    <w:p w:rsidR="00F97A9F" w:rsidRDefault="00F97A9F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C8" w:rsidRDefault="009A58C8">
    <w:pPr>
      <w:pStyle w:val="Footer"/>
      <w:jc w:val="right"/>
    </w:pP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9F" w:rsidRDefault="00F97A9F" w:rsidP="00DB41F3">
      <w:r>
        <w:separator/>
      </w:r>
    </w:p>
  </w:footnote>
  <w:footnote w:type="continuationSeparator" w:id="0">
    <w:p w:rsidR="00F97A9F" w:rsidRDefault="00F97A9F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D106E"/>
    <w:rsid w:val="001F2BD6"/>
    <w:rsid w:val="00280440"/>
    <w:rsid w:val="00284F26"/>
    <w:rsid w:val="002C37F9"/>
    <w:rsid w:val="002D483A"/>
    <w:rsid w:val="00313B2E"/>
    <w:rsid w:val="00353038"/>
    <w:rsid w:val="00353747"/>
    <w:rsid w:val="00437E6C"/>
    <w:rsid w:val="004570AD"/>
    <w:rsid w:val="00480012"/>
    <w:rsid w:val="0049004D"/>
    <w:rsid w:val="004B5737"/>
    <w:rsid w:val="00525EE7"/>
    <w:rsid w:val="005508BF"/>
    <w:rsid w:val="00553C26"/>
    <w:rsid w:val="00681769"/>
    <w:rsid w:val="006D473D"/>
    <w:rsid w:val="00712293"/>
    <w:rsid w:val="00741D5D"/>
    <w:rsid w:val="00792881"/>
    <w:rsid w:val="007C5456"/>
    <w:rsid w:val="007E71FE"/>
    <w:rsid w:val="0085180A"/>
    <w:rsid w:val="008F4437"/>
    <w:rsid w:val="008F5F4F"/>
    <w:rsid w:val="009074D7"/>
    <w:rsid w:val="009A58C8"/>
    <w:rsid w:val="00A22108"/>
    <w:rsid w:val="00A34ACA"/>
    <w:rsid w:val="00A52E5A"/>
    <w:rsid w:val="00A96635"/>
    <w:rsid w:val="00AE1059"/>
    <w:rsid w:val="00BB4998"/>
    <w:rsid w:val="00BF2FA1"/>
    <w:rsid w:val="00C13606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4A4AB373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3</cp:revision>
  <cp:lastPrinted>2014-11-24T13:44:00Z</cp:lastPrinted>
  <dcterms:created xsi:type="dcterms:W3CDTF">2016-11-02T08:42:00Z</dcterms:created>
  <dcterms:modified xsi:type="dcterms:W3CDTF">2016-11-15T07:50:00Z</dcterms:modified>
</cp:coreProperties>
</file>