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4957F" w14:textId="77777777" w:rsidR="00D50B64" w:rsidRDefault="00D50B64" w:rsidP="00D50B64">
      <w:pPr>
        <w:tabs>
          <w:tab w:val="left" w:pos="13125"/>
          <w:tab w:val="left" w:pos="14160"/>
        </w:tabs>
        <w:suppressAutoHyphens w:val="0"/>
        <w:spacing w:before="0" w:after="0" w:line="240" w:lineRule="auto"/>
        <w:ind w:right="3043"/>
        <w:rPr>
          <w:rFonts w:ascii="Arial" w:eastAsia="Arial Unicode MS" w:hAnsi="Arial" w:cs="Arial"/>
          <w:b/>
          <w:color w:val="3C3060"/>
          <w:sz w:val="72"/>
          <w:szCs w:val="72"/>
          <w14:ligatures w14:val="none"/>
        </w:rPr>
      </w:pPr>
    </w:p>
    <w:p w14:paraId="77E7F08A" w14:textId="77777777" w:rsidR="00D50B64" w:rsidRDefault="00D50B64" w:rsidP="00D50B64">
      <w:pPr>
        <w:tabs>
          <w:tab w:val="left" w:pos="13125"/>
          <w:tab w:val="left" w:pos="14160"/>
        </w:tabs>
        <w:suppressAutoHyphens w:val="0"/>
        <w:spacing w:before="0" w:after="0" w:line="240" w:lineRule="auto"/>
        <w:ind w:right="3043"/>
        <w:rPr>
          <w:rFonts w:ascii="Arial" w:eastAsia="Arial Unicode MS" w:hAnsi="Arial" w:cs="Arial"/>
          <w:b/>
          <w:color w:val="3C3060"/>
          <w:sz w:val="48"/>
          <w:szCs w:val="48"/>
          <w14:ligatures w14:val="none"/>
        </w:rPr>
      </w:pPr>
    </w:p>
    <w:p w14:paraId="1803E24F" w14:textId="77777777" w:rsidR="005F200C" w:rsidRDefault="005F200C" w:rsidP="00D50B64">
      <w:pPr>
        <w:tabs>
          <w:tab w:val="left" w:pos="13125"/>
          <w:tab w:val="left" w:pos="14160"/>
        </w:tabs>
        <w:suppressAutoHyphens w:val="0"/>
        <w:spacing w:before="0" w:after="0" w:line="240" w:lineRule="auto"/>
        <w:ind w:right="3043"/>
        <w:rPr>
          <w:rFonts w:ascii="Arial" w:eastAsia="Arial Unicode MS" w:hAnsi="Arial" w:cs="Arial"/>
          <w:b/>
          <w:color w:val="3C3060"/>
          <w:sz w:val="48"/>
          <w:szCs w:val="48"/>
          <w14:ligatures w14:val="none"/>
        </w:rPr>
      </w:pPr>
    </w:p>
    <w:p w14:paraId="680DB40F" w14:textId="77777777" w:rsidR="005F200C" w:rsidRPr="005F200C" w:rsidRDefault="005F200C" w:rsidP="00D50B64">
      <w:pPr>
        <w:tabs>
          <w:tab w:val="left" w:pos="13125"/>
          <w:tab w:val="left" w:pos="14160"/>
        </w:tabs>
        <w:suppressAutoHyphens w:val="0"/>
        <w:spacing w:before="0" w:after="0" w:line="240" w:lineRule="auto"/>
        <w:ind w:right="3043"/>
        <w:rPr>
          <w:rFonts w:ascii="Arial" w:eastAsia="Arial Unicode MS" w:hAnsi="Arial" w:cs="Arial"/>
          <w:b/>
          <w:color w:val="3C3060"/>
          <w:sz w:val="48"/>
          <w:szCs w:val="48"/>
          <w14:ligatures w14:val="none"/>
        </w:rPr>
      </w:pPr>
    </w:p>
    <w:p w14:paraId="70C1889A" w14:textId="77777777" w:rsidR="00DB3654" w:rsidRDefault="00DB3654" w:rsidP="004E2A97">
      <w:pPr>
        <w:tabs>
          <w:tab w:val="left" w:pos="11907"/>
          <w:tab w:val="left" w:pos="13125"/>
          <w:tab w:val="left" w:pos="14160"/>
        </w:tabs>
        <w:suppressAutoHyphens w:val="0"/>
        <w:spacing w:before="0" w:after="0" w:line="240" w:lineRule="auto"/>
        <w:ind w:right="1985"/>
        <w:rPr>
          <w:rFonts w:ascii="Franklin Gothic Medium" w:eastAsia="Arial Unicode MS" w:hAnsi="Franklin Gothic Medium" w:cs="Arial"/>
          <w:bCs/>
          <w:color w:val="3C3060"/>
          <w:sz w:val="72"/>
          <w:szCs w:val="72"/>
          <w14:ligatures w14:val="none"/>
        </w:rPr>
      </w:pPr>
      <w:r>
        <w:rPr>
          <w:rFonts w:ascii="Franklin Gothic Medium" w:eastAsia="Arial Unicode MS" w:hAnsi="Franklin Gothic Medium" w:cs="Arial"/>
          <w:bCs/>
          <w:color w:val="3C3060"/>
          <w:sz w:val="72"/>
          <w:szCs w:val="72"/>
          <w14:ligatures w14:val="none"/>
        </w:rPr>
        <w:t>I</w:t>
      </w:r>
      <w:r w:rsidR="00D50B64" w:rsidRPr="005F200C">
        <w:rPr>
          <w:rFonts w:ascii="Franklin Gothic Medium" w:eastAsia="Arial Unicode MS" w:hAnsi="Franklin Gothic Medium" w:cs="Arial"/>
          <w:bCs/>
          <w:color w:val="3C3060"/>
          <w:sz w:val="72"/>
          <w:szCs w:val="72"/>
          <w14:ligatures w14:val="none"/>
        </w:rPr>
        <w:t>nternal Scrutiny Report</w:t>
      </w:r>
      <w:r w:rsidR="004E2A97">
        <w:rPr>
          <w:rFonts w:ascii="Franklin Gothic Medium" w:eastAsia="Arial Unicode MS" w:hAnsi="Franklin Gothic Medium" w:cs="Arial"/>
          <w:bCs/>
          <w:color w:val="3C3060"/>
          <w:sz w:val="72"/>
          <w:szCs w:val="72"/>
          <w14:ligatures w14:val="none"/>
        </w:rPr>
        <w:t xml:space="preserve"> </w:t>
      </w:r>
    </w:p>
    <w:p w14:paraId="4BA25E07" w14:textId="5EAFD982" w:rsidR="00D50B64" w:rsidRPr="00FA0678" w:rsidRDefault="00F41443" w:rsidP="004E2A97">
      <w:pPr>
        <w:tabs>
          <w:tab w:val="left" w:pos="11907"/>
          <w:tab w:val="left" w:pos="13125"/>
          <w:tab w:val="left" w:pos="14160"/>
        </w:tabs>
        <w:suppressAutoHyphens w:val="0"/>
        <w:spacing w:before="0" w:after="0" w:line="240" w:lineRule="auto"/>
        <w:ind w:right="1985"/>
        <w:rPr>
          <w:rFonts w:ascii="Franklin Gothic Medium" w:eastAsia="Arial Unicode MS" w:hAnsi="Franklin Gothic Medium" w:cs="Arial"/>
          <w:bCs/>
          <w:color w:val="3C3060"/>
          <w:sz w:val="52"/>
          <w:szCs w:val="52"/>
          <w14:ligatures w14:val="none"/>
        </w:rPr>
      </w:pPr>
      <w:r>
        <w:rPr>
          <w:rFonts w:ascii="Franklin Gothic Medium" w:eastAsia="Arial Unicode MS" w:hAnsi="Franklin Gothic Medium" w:cs="Arial"/>
          <w:bCs/>
          <w:color w:val="3C3060"/>
          <w:sz w:val="52"/>
          <w:szCs w:val="52"/>
          <w14:ligatures w14:val="none"/>
        </w:rPr>
        <w:t>Financial Scrutiny</w:t>
      </w:r>
    </w:p>
    <w:p w14:paraId="2EFE038B" w14:textId="77777777" w:rsidR="00D50B64" w:rsidRPr="00FA0678" w:rsidRDefault="00D50B64" w:rsidP="005F200C">
      <w:pPr>
        <w:tabs>
          <w:tab w:val="left" w:pos="13125"/>
          <w:tab w:val="left" w:pos="14160"/>
        </w:tabs>
        <w:suppressAutoHyphens w:val="0"/>
        <w:spacing w:before="0" w:after="0" w:line="240" w:lineRule="auto"/>
        <w:ind w:right="8505"/>
        <w:rPr>
          <w:rFonts w:ascii="Franklin Gothic Medium" w:eastAsia="Arial Unicode MS" w:hAnsi="Franklin Gothic Medium" w:cs="Arial"/>
          <w:bCs/>
          <w:color w:val="00B973"/>
          <w:sz w:val="56"/>
          <w:szCs w:val="56"/>
          <w14:ligatures w14:val="none"/>
        </w:rPr>
      </w:pPr>
      <w:r w:rsidRPr="00FA0678">
        <w:rPr>
          <w:rFonts w:ascii="Franklin Gothic Medium" w:eastAsia="Arial Unicode MS" w:hAnsi="Franklin Gothic Medium" w:cs="Arial"/>
          <w:bCs/>
          <w:color w:val="00B973"/>
          <w:sz w:val="56"/>
          <w:szCs w:val="56"/>
          <w14:ligatures w14:val="none"/>
        </w:rPr>
        <w:t>202</w:t>
      </w:r>
      <w:r w:rsidR="005F200C" w:rsidRPr="00FA0678">
        <w:rPr>
          <w:rFonts w:ascii="Franklin Gothic Medium" w:eastAsia="Arial Unicode MS" w:hAnsi="Franklin Gothic Medium" w:cs="Arial"/>
          <w:bCs/>
          <w:color w:val="00B973"/>
          <w:sz w:val="56"/>
          <w:szCs w:val="56"/>
          <w14:ligatures w14:val="none"/>
        </w:rPr>
        <w:t>2</w:t>
      </w:r>
      <w:r w:rsidRPr="00FA0678">
        <w:rPr>
          <w:rFonts w:ascii="Franklin Gothic Medium" w:eastAsia="Arial Unicode MS" w:hAnsi="Franklin Gothic Medium" w:cs="Arial"/>
          <w:bCs/>
          <w:color w:val="00B973"/>
          <w:sz w:val="56"/>
          <w:szCs w:val="56"/>
          <w14:ligatures w14:val="none"/>
        </w:rPr>
        <w:t>-2</w:t>
      </w:r>
      <w:r w:rsidR="005F200C" w:rsidRPr="00FA0678">
        <w:rPr>
          <w:rFonts w:ascii="Franklin Gothic Medium" w:eastAsia="Arial Unicode MS" w:hAnsi="Franklin Gothic Medium" w:cs="Arial"/>
          <w:bCs/>
          <w:color w:val="00B973"/>
          <w:sz w:val="56"/>
          <w:szCs w:val="56"/>
          <w14:ligatures w14:val="none"/>
        </w:rPr>
        <w:t>3</w:t>
      </w:r>
    </w:p>
    <w:p w14:paraId="61DAAC88" w14:textId="77777777" w:rsidR="00D50B64" w:rsidRPr="002521FE" w:rsidRDefault="00D50B64" w:rsidP="00D50B64">
      <w:pPr>
        <w:tabs>
          <w:tab w:val="left" w:pos="13125"/>
          <w:tab w:val="left" w:pos="14160"/>
        </w:tabs>
        <w:suppressAutoHyphens w:val="0"/>
        <w:spacing w:before="0" w:after="0" w:line="240" w:lineRule="auto"/>
        <w:rPr>
          <w:rFonts w:ascii="Arial" w:eastAsia="Arial Unicode MS" w:hAnsi="Arial" w:cs="Arial"/>
          <w:b/>
          <w:color w:val="3C3060"/>
          <w:sz w:val="36"/>
          <w:szCs w:val="36"/>
          <w14:ligatures w14:val="none"/>
        </w:rPr>
      </w:pPr>
      <w:r w:rsidRPr="002521FE">
        <w:rPr>
          <w:rFonts w:ascii="Arial" w:eastAsia="Times New Roman" w:hAnsi="Arial" w:cs="Arial"/>
          <w:noProof/>
          <w:sz w:val="24"/>
          <w:lang w:eastAsia="en-GB"/>
          <w14:ligatures w14:val="none"/>
        </w:rPr>
        <mc:AlternateContent>
          <mc:Choice Requires="wps">
            <w:drawing>
              <wp:anchor distT="0" distB="0" distL="114300" distR="114300" simplePos="0" relativeHeight="251658242" behindDoc="0" locked="0" layoutInCell="1" allowOverlap="1" wp14:anchorId="5BCFDD85" wp14:editId="507211AE">
                <wp:simplePos x="0" y="0"/>
                <wp:positionH relativeFrom="column">
                  <wp:posOffset>11430</wp:posOffset>
                </wp:positionH>
                <wp:positionV relativeFrom="paragraph">
                  <wp:posOffset>14605</wp:posOffset>
                </wp:positionV>
                <wp:extent cx="6552000" cy="0"/>
                <wp:effectExtent l="0" t="0" r="0" b="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2000" cy="0"/>
                        </a:xfrm>
                        <a:prstGeom prst="straightConnector1">
                          <a:avLst/>
                        </a:prstGeom>
                        <a:noFill/>
                        <a:ln w="19050">
                          <a:solidFill>
                            <a:srgbClr val="00B9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D8D427" id="_x0000_t32" coordsize="21600,21600" o:spt="32" o:oned="t" path="m,l21600,21600e" filled="f">
                <v:path arrowok="t" fillok="f" o:connecttype="none"/>
                <o:lock v:ext="edit" shapetype="t"/>
              </v:shapetype>
              <v:shape id="Straight Arrow Connector 145" o:spid="_x0000_s1026" type="#_x0000_t32" style="position:absolute;margin-left:.9pt;margin-top:1.15pt;width:515.9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LGduwEAAFcDAAAOAAAAZHJzL2Uyb0RvYy54bWysU8Fu2zAMvQ/YPwi6L3Y6pFuNOAWWrrt0&#10;W4C2H8BIsi1MFgVSiZO/n6QmWbHdhl4ESiQfHx+p5e1hdGJviC36Vs5ntRTGK9TW9618frr/8FkK&#10;juA1OPSmlUfD8nb1/t1yCo25wgGdNiQSiOdmCq0cYgxNVbEazAg8w2B8cnZII8R0pb7SBFNCH111&#10;VdfX1YSkA6EyzOn17sUpVwW/64yKP7uOTRSulYlbLCeVc5vParWEpicIg1UnGvAfLEawPhW9QN1B&#10;BLEj+w/UaBUhYxdnCscKu84qU3pI3czrv7p5HCCY0ksSh8NFJn47WPVjv/YbytTVwT+GB1S/WHhc&#10;D+B7Uwg8HUMa3DxLVU2Bm0tKvnDYkNhO31GnGNhFLCocOhozZOpPHIrYx4vY5hCFSo/Xi0UaYJqJ&#10;OvsqaM6JgTh+MziKbLSSI4Hth7hG79NIkealDOwfOGZa0JwTclWP99a5MlnnxZS439SLumQwOquz&#10;N8cx9du1I7GHvBz1l5tPH0uTyfM6jHDndUEbDOivJzuCdS92qu78SZssR949braojxs6a5amV2ie&#10;Ni2vx+t7yf7zH1a/AQAA//8DAFBLAwQUAAYACAAAACEAHQU7zdgAAAAGAQAADwAAAGRycy9kb3du&#10;cmV2LnhtbEyOvU7DMBSFdyTewbpILIg6xDSq0jgVQkKIMW0XNje+jSPsayt22/D2uCwwnh+d8zWb&#10;2Vl2ximOniQ8LQpgSL3XIw0S9ru3xxWwmBRpZT2hhG+MsGlvbxpVa3+hDs/bNLA8QrFWEkxKoeY8&#10;9gadigsfkHJ29JNTKctp4HpSlzzuLC+LouJOjZQfjAr4arD/2p6chFSVz2JpgxHl/hg+Px46s3vv&#10;pLy/m1/WwBLO6a8MV/yMDm1mOvgT6chs1hk8SSgFsGtaCFEBO/wavG34f/z2BwAA//8DAFBLAQIt&#10;ABQABgAIAAAAIQC2gziS/gAAAOEBAAATAAAAAAAAAAAAAAAAAAAAAABbQ29udGVudF9UeXBlc10u&#10;eG1sUEsBAi0AFAAGAAgAAAAhADj9If/WAAAAlAEAAAsAAAAAAAAAAAAAAAAALwEAAF9yZWxzLy5y&#10;ZWxzUEsBAi0AFAAGAAgAAAAhAPfUsZ27AQAAVwMAAA4AAAAAAAAAAAAAAAAALgIAAGRycy9lMm9E&#10;b2MueG1sUEsBAi0AFAAGAAgAAAAhAB0FO83YAAAABgEAAA8AAAAAAAAAAAAAAAAAFQQAAGRycy9k&#10;b3ducmV2LnhtbFBLBQYAAAAABAAEAPMAAAAaBQAAAAA=&#10;" strokecolor="#00b973" strokeweight="1.5pt"/>
            </w:pict>
          </mc:Fallback>
        </mc:AlternateContent>
      </w:r>
      <w:r w:rsidRPr="002521FE">
        <w:rPr>
          <w:rFonts w:ascii="Arial" w:eastAsia="Times New Roman" w:hAnsi="Arial" w:cs="Arial"/>
          <w:noProof/>
          <w:sz w:val="24"/>
          <w:lang w:eastAsia="en-GB"/>
          <w14:ligatures w14:val="none"/>
        </w:rPr>
        <mc:AlternateContent>
          <mc:Choice Requires="wps">
            <w:drawing>
              <wp:anchor distT="4294967295" distB="4294967295" distL="114300" distR="114300" simplePos="0" relativeHeight="251658241" behindDoc="0" locked="0" layoutInCell="1" allowOverlap="1" wp14:anchorId="431D1C4C" wp14:editId="4ED37284">
                <wp:simplePos x="0" y="0"/>
                <wp:positionH relativeFrom="column">
                  <wp:posOffset>828675</wp:posOffset>
                </wp:positionH>
                <wp:positionV relativeFrom="paragraph">
                  <wp:posOffset>5005704</wp:posOffset>
                </wp:positionV>
                <wp:extent cx="5238750" cy="0"/>
                <wp:effectExtent l="0" t="0" r="19050" b="1905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0" cy="0"/>
                        </a:xfrm>
                        <a:prstGeom prst="line">
                          <a:avLst/>
                        </a:prstGeom>
                        <a:noFill/>
                        <a:ln w="19050" cap="flat" cmpd="sng" algn="ctr">
                          <a:solidFill>
                            <a:srgbClr val="00B973"/>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ED4F20" id="Straight Connector 146"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394.15pt" to="477.75pt,3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j3uAEAAGIDAAAOAAAAZHJzL2Uyb0RvYy54bWysU9tu2zAMfR+wfxD0vshN0TU14hRYg+6l&#10;2Aq0+wBGlmxhukHUYufvRymXddvbMD8IokgekofH6/vZWbZXCU3wHb9aNJwpL0Nv/NDxb6+PH1ac&#10;YQbfgw1edfygkN9v3r9bT7FVyzAG26vECMRjO8WOjznHVgiUo3KAixCVJ6cOyUEmMw2iTzARurNi&#10;2TQfxRRSH1OQCpFet0cn31R8rZXMX7VGlZntOPWW65nquSun2KyhHRLE0chTG/APXTgwnopeoLaQ&#10;gf1I5i8oZ2QKGHReyOBE0NpIVWegaa6aP6Z5GSGqOguRg/FCE/4/WPll/+CfU2ldzv4lPgX5HYkU&#10;MUVsL85iYDyGzTq5Ek69s7kSebgQqebMJD3eLK9XtzfEtzz7BLTnxJgwf1bBsXLpuDW+zAgt7J8w&#10;l9LQnkPKsw+Pxtq6J+vZRCK7ayo0kFy0hUxVXOw7jn7gDOxAOpQ5VUgM1vQlvQBhGnYPNrE9FC00&#10;n+5ur8v6qdxvYaX2FnA8xlXXUSXOZJKqNa7jq6Z8p2zrC7qqYjtN8IuvctuF/vCczqTSImvRk+iK&#10;Ut7adH/7a2x+AgAA//8DAFBLAwQUAAYACAAAACEAnNrtKt4AAAALAQAADwAAAGRycy9kb3ducmV2&#10;LnhtbEyPwU7DMBBE70j8g7VI3KgDVSAJcaoKCW4cSCvU3tx4mwTsdYjdNvD1LBISHGf2aXamXEzO&#10;iiOOofek4HqWgEBqvOmpVbBePV5lIELUZLT1hAo+McCiOj8rdWH8iV7wWMdWcAiFQivoYhwKKUPT&#10;odNh5gckvu396HRkObbSjPrE4c7KmyS5lU73xB86PeBDh817fXAKXp9c/Tzk+49+Gbbt+msT7duY&#10;K3V5MS3vQUSc4h8MP/W5OlTcaecPZIKwrOdJyqiCuyybg2AiT1N2dr+OrEr5f0P1DQAA//8DAFBL&#10;AQItABQABgAIAAAAIQC2gziS/gAAAOEBAAATAAAAAAAAAAAAAAAAAAAAAABbQ29udGVudF9UeXBl&#10;c10ueG1sUEsBAi0AFAAGAAgAAAAhADj9If/WAAAAlAEAAAsAAAAAAAAAAAAAAAAALwEAAF9yZWxz&#10;Ly5yZWxzUEsBAi0AFAAGAAgAAAAhAMWGyPe4AQAAYgMAAA4AAAAAAAAAAAAAAAAALgIAAGRycy9l&#10;Mm9Eb2MueG1sUEsBAi0AFAAGAAgAAAAhAJza7SreAAAACwEAAA8AAAAAAAAAAAAAAAAAEgQAAGRy&#10;cy9kb3ducmV2LnhtbFBLBQYAAAAABAAEAPMAAAAdBQAAAAA=&#10;" strokecolor="#00b973" strokeweight="1.5pt">
                <v:stroke joinstyle="miter"/>
                <o:lock v:ext="edit" shapetype="f"/>
              </v:line>
            </w:pict>
          </mc:Fallback>
        </mc:AlternateContent>
      </w:r>
      <w:r w:rsidRPr="002521FE">
        <w:rPr>
          <w:rFonts w:ascii="Arial" w:eastAsia="Times New Roman" w:hAnsi="Arial" w:cs="Arial"/>
          <w:noProof/>
          <w:sz w:val="24"/>
          <w:lang w:eastAsia="en-GB"/>
          <w14:ligatures w14:val="none"/>
        </w:rPr>
        <mc:AlternateContent>
          <mc:Choice Requires="wps">
            <w:drawing>
              <wp:anchor distT="4294967295" distB="4294967295" distL="114300" distR="114300" simplePos="0" relativeHeight="251658240" behindDoc="0" locked="0" layoutInCell="1" allowOverlap="1" wp14:anchorId="20DD02CE" wp14:editId="59C14BF0">
                <wp:simplePos x="0" y="0"/>
                <wp:positionH relativeFrom="column">
                  <wp:posOffset>828675</wp:posOffset>
                </wp:positionH>
                <wp:positionV relativeFrom="paragraph">
                  <wp:posOffset>5005704</wp:posOffset>
                </wp:positionV>
                <wp:extent cx="5238750" cy="0"/>
                <wp:effectExtent l="0" t="0" r="19050" b="1905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0" cy="0"/>
                        </a:xfrm>
                        <a:prstGeom prst="line">
                          <a:avLst/>
                        </a:prstGeom>
                        <a:noFill/>
                        <a:ln w="19050" cap="flat" cmpd="sng" algn="ctr">
                          <a:solidFill>
                            <a:srgbClr val="00B973"/>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FEBF36F" id="Straight Connector 14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394.15pt" to="477.75pt,3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j3uAEAAGIDAAAOAAAAZHJzL2Uyb0RvYy54bWysU9tu2zAMfR+wfxD0vshN0TU14hRYg+6l&#10;2Aq0+wBGlmxhukHUYufvRymXddvbMD8IokgekofH6/vZWbZXCU3wHb9aNJwpL0Nv/NDxb6+PH1ac&#10;YQbfgw1edfygkN9v3r9bT7FVyzAG26vECMRjO8WOjznHVgiUo3KAixCVJ6cOyUEmMw2iTzARurNi&#10;2TQfxRRSH1OQCpFet0cn31R8rZXMX7VGlZntOPWW65nquSun2KyhHRLE0chTG/APXTgwnopeoLaQ&#10;gf1I5i8oZ2QKGHReyOBE0NpIVWegaa6aP6Z5GSGqOguRg/FCE/4/WPll/+CfU2ldzv4lPgX5HYkU&#10;MUVsL85iYDyGzTq5Ek69s7kSebgQqebMJD3eLK9XtzfEtzz7BLTnxJgwf1bBsXLpuDW+zAgt7J8w&#10;l9LQnkPKsw+Pxtq6J+vZRCK7ayo0kFy0hUxVXOw7jn7gDOxAOpQ5VUgM1vQlvQBhGnYPNrE9FC00&#10;n+5ur8v6qdxvYaX2FnA8xlXXUSXOZJKqNa7jq6Z8p2zrC7qqYjtN8IuvctuF/vCczqTSImvRk+iK&#10;Ut7adH/7a2x+AgAA//8DAFBLAwQUAAYACAAAACEAnNrtKt4AAAALAQAADwAAAGRycy9kb3ducmV2&#10;LnhtbEyPwU7DMBBE70j8g7VI3KgDVSAJcaoKCW4cSCvU3tx4mwTsdYjdNvD1LBISHGf2aXamXEzO&#10;iiOOofek4HqWgEBqvOmpVbBePV5lIELUZLT1hAo+McCiOj8rdWH8iV7wWMdWcAiFQivoYhwKKUPT&#10;odNh5gckvu396HRkObbSjPrE4c7KmyS5lU73xB86PeBDh817fXAKXp9c/Tzk+49+Gbbt+msT7duY&#10;K3V5MS3vQUSc4h8MP/W5OlTcaecPZIKwrOdJyqiCuyybg2AiT1N2dr+OrEr5f0P1DQAA//8DAFBL&#10;AQItABQABgAIAAAAIQC2gziS/gAAAOEBAAATAAAAAAAAAAAAAAAAAAAAAABbQ29udGVudF9UeXBl&#10;c10ueG1sUEsBAi0AFAAGAAgAAAAhADj9If/WAAAAlAEAAAsAAAAAAAAAAAAAAAAALwEAAF9yZWxz&#10;Ly5yZWxzUEsBAi0AFAAGAAgAAAAhAMWGyPe4AQAAYgMAAA4AAAAAAAAAAAAAAAAALgIAAGRycy9l&#10;Mm9Eb2MueG1sUEsBAi0AFAAGAAgAAAAhAJza7SreAAAACwEAAA8AAAAAAAAAAAAAAAAAEgQAAGRy&#10;cy9kb3ducmV2LnhtbFBLBQYAAAAABAAEAPMAAAAdBQAAAAA=&#10;" strokecolor="#00b973" strokeweight="1.5pt">
                <v:stroke joinstyle="miter"/>
                <o:lock v:ext="edit" shapetype="f"/>
              </v:line>
            </w:pict>
          </mc:Fallback>
        </mc:AlternateContent>
      </w:r>
    </w:p>
    <w:p w14:paraId="1D19D0B9" w14:textId="77777777" w:rsidR="00D50B64" w:rsidRPr="002521FE" w:rsidRDefault="00D50B64" w:rsidP="00D50B64">
      <w:pPr>
        <w:tabs>
          <w:tab w:val="left" w:pos="11057"/>
          <w:tab w:val="left" w:pos="13125"/>
          <w:tab w:val="left" w:pos="14160"/>
        </w:tabs>
        <w:suppressAutoHyphens w:val="0"/>
        <w:spacing w:before="0" w:after="0" w:line="240" w:lineRule="auto"/>
        <w:ind w:right="3515"/>
        <w:rPr>
          <w:rFonts w:ascii="Arial" w:eastAsia="Arial Unicode MS" w:hAnsi="Arial" w:cs="Arial"/>
          <w:b/>
          <w:color w:val="FF0000"/>
          <w:sz w:val="32"/>
          <w:szCs w:val="32"/>
          <w14:ligatures w14:val="none"/>
        </w:rPr>
      </w:pPr>
    </w:p>
    <w:p w14:paraId="02691198" w14:textId="6F7820AD" w:rsidR="00D50B64" w:rsidRPr="005F200C" w:rsidRDefault="00F41443" w:rsidP="00D50B64">
      <w:pPr>
        <w:tabs>
          <w:tab w:val="left" w:pos="13125"/>
          <w:tab w:val="left" w:pos="14160"/>
        </w:tabs>
        <w:suppressAutoHyphens w:val="0"/>
        <w:spacing w:before="0" w:after="0" w:line="240" w:lineRule="auto"/>
        <w:ind w:right="3798"/>
        <w:rPr>
          <w:rFonts w:ascii="Franklin Gothic Medium" w:eastAsia="Arial Unicode MS" w:hAnsi="Franklin Gothic Medium" w:cs="Arial"/>
          <w:bCs/>
          <w:color w:val="3C3060"/>
          <w:sz w:val="56"/>
          <w:szCs w:val="56"/>
          <w14:ligatures w14:val="none"/>
        </w:rPr>
      </w:pPr>
      <w:r>
        <w:rPr>
          <w:rFonts w:ascii="Franklin Gothic Medium" w:eastAsia="Arial Unicode MS" w:hAnsi="Franklin Gothic Medium" w:cs="Arial"/>
          <w:bCs/>
          <w:color w:val="3C3060"/>
          <w:sz w:val="56"/>
          <w:szCs w:val="56"/>
          <w14:ligatures w14:val="none"/>
        </w:rPr>
        <w:t>Shenfield High School</w:t>
      </w:r>
    </w:p>
    <w:p w14:paraId="13D4932B" w14:textId="57F62602" w:rsidR="00D50B64" w:rsidRPr="005F200C" w:rsidRDefault="00F41443" w:rsidP="00D50B64">
      <w:pPr>
        <w:tabs>
          <w:tab w:val="left" w:pos="13125"/>
          <w:tab w:val="left" w:pos="14160"/>
        </w:tabs>
        <w:suppressAutoHyphens w:val="0"/>
        <w:spacing w:before="0" w:after="0" w:line="240" w:lineRule="auto"/>
        <w:ind w:right="3798"/>
        <w:rPr>
          <w:rFonts w:ascii="Franklin Gothic Medium" w:eastAsia="Arial Unicode MS" w:hAnsi="Franklin Gothic Medium" w:cs="Arial"/>
          <w:bCs/>
          <w:color w:val="3C3060"/>
          <w:sz w:val="40"/>
          <w:szCs w:val="40"/>
          <w14:ligatures w14:val="none"/>
        </w:rPr>
      </w:pPr>
      <w:r>
        <w:rPr>
          <w:rFonts w:ascii="Franklin Gothic Medium" w:eastAsia="Arial Unicode MS" w:hAnsi="Franklin Gothic Medium" w:cs="Arial"/>
          <w:bCs/>
          <w:color w:val="3C3060"/>
          <w:sz w:val="40"/>
          <w:szCs w:val="40"/>
          <w14:ligatures w14:val="none"/>
        </w:rPr>
        <w:t>March 2023</w:t>
      </w:r>
    </w:p>
    <w:p w14:paraId="5D1E8CC6" w14:textId="77777777" w:rsidR="00D50B64" w:rsidRPr="002521FE" w:rsidRDefault="00D50B64" w:rsidP="00D50B64">
      <w:pPr>
        <w:tabs>
          <w:tab w:val="left" w:pos="13125"/>
          <w:tab w:val="left" w:pos="14160"/>
        </w:tabs>
        <w:suppressAutoHyphens w:val="0"/>
        <w:spacing w:before="0" w:after="0" w:line="240" w:lineRule="auto"/>
        <w:ind w:right="5924"/>
        <w:rPr>
          <w:rFonts w:ascii="Arial" w:eastAsia="Arial Unicode MS" w:hAnsi="Arial" w:cs="Arial"/>
          <w:b/>
          <w:sz w:val="32"/>
          <w:szCs w:val="32"/>
          <w14:ligatures w14:val="none"/>
        </w:rPr>
      </w:pPr>
    </w:p>
    <w:p w14:paraId="780B6297" w14:textId="77777777" w:rsidR="00D50B64" w:rsidRPr="002521FE" w:rsidRDefault="00D50B64" w:rsidP="00D50B64">
      <w:pPr>
        <w:tabs>
          <w:tab w:val="left" w:pos="13125"/>
          <w:tab w:val="left" w:pos="14160"/>
        </w:tabs>
        <w:suppressAutoHyphens w:val="0"/>
        <w:spacing w:before="0" w:after="0" w:line="240" w:lineRule="auto"/>
        <w:ind w:right="8505"/>
        <w:rPr>
          <w:rFonts w:ascii="Arial" w:eastAsia="Arial Unicode MS" w:hAnsi="Arial" w:cs="Arial"/>
          <w:b/>
          <w:sz w:val="32"/>
          <w:szCs w:val="32"/>
          <w14:ligatures w14:val="none"/>
        </w:rPr>
      </w:pPr>
    </w:p>
    <w:p w14:paraId="67D232D0" w14:textId="77777777" w:rsidR="00D50B64" w:rsidRPr="002521FE" w:rsidRDefault="00D50B64" w:rsidP="00D50B64">
      <w:pPr>
        <w:suppressAutoHyphens w:val="0"/>
        <w:spacing w:before="0" w:after="200" w:line="276" w:lineRule="auto"/>
        <w:rPr>
          <w:rFonts w:ascii="Zona Pro" w:eastAsia="Arial Unicode MS" w:hAnsi="Zona Pro" w:cs="Times New Roman"/>
          <w:b/>
          <w:bCs/>
          <w:color w:val="3C3060"/>
          <w:sz w:val="28"/>
          <w:szCs w:val="28"/>
          <w:lang w:eastAsia="en-GB"/>
          <w14:ligatures w14:val="none"/>
        </w:rPr>
      </w:pPr>
      <w:r w:rsidRPr="002521FE">
        <w:rPr>
          <w:rFonts w:ascii="Zona Pro" w:eastAsia="Arial Unicode MS" w:hAnsi="Zona Pro" w:cs="Times New Roman"/>
          <w:b/>
          <w:bCs/>
          <w:color w:val="3C3060"/>
          <w:sz w:val="28"/>
          <w:szCs w:val="28"/>
          <w:lang w:eastAsia="en-GB"/>
          <w14:ligatures w14:val="none"/>
        </w:rPr>
        <w:br w:type="page"/>
      </w:r>
    </w:p>
    <w:p w14:paraId="05F44E6D" w14:textId="77777777" w:rsidR="00D50B64" w:rsidRDefault="00D50B64" w:rsidP="00143CE0">
      <w:pPr>
        <w:pStyle w:val="Sub-heading"/>
      </w:pPr>
      <w:r>
        <w:lastRenderedPageBreak/>
        <w:t xml:space="preserve">Executive </w:t>
      </w:r>
      <w:r w:rsidRPr="005F200C">
        <w:t>Summary</w:t>
      </w:r>
      <w:r>
        <w:t xml:space="preserve"> </w:t>
      </w:r>
    </w:p>
    <w:p w14:paraId="08715E8D" w14:textId="77777777" w:rsidR="00D50B64" w:rsidRPr="00FC02DB" w:rsidRDefault="00D50B64" w:rsidP="00D50B64">
      <w:pPr>
        <w:keepNext/>
        <w:spacing w:after="0" w:line="240" w:lineRule="auto"/>
        <w:outlineLvl w:val="0"/>
        <w:rPr>
          <w:rFonts w:eastAsia="Arial Unicode MS" w:cs="Times New Roman"/>
          <w:sz w:val="22"/>
          <w:szCs w:val="22"/>
          <w:lang w:eastAsia="en-GB"/>
        </w:rPr>
      </w:pPr>
    </w:p>
    <w:p w14:paraId="00450E7C" w14:textId="77777777" w:rsidR="00D50B64" w:rsidRPr="00FC02DB" w:rsidRDefault="00D50B64" w:rsidP="00D50B64">
      <w:pPr>
        <w:keepNext/>
        <w:spacing w:after="0" w:line="240" w:lineRule="auto"/>
        <w:outlineLvl w:val="0"/>
        <w:rPr>
          <w:rFonts w:eastAsia="Arial Unicode MS" w:cs="Times New Roman"/>
          <w:bCs/>
          <w:sz w:val="22"/>
          <w:szCs w:val="22"/>
          <w:lang w:eastAsia="en-GB"/>
        </w:rPr>
      </w:pPr>
      <w:r w:rsidRPr="00FC02DB">
        <w:rPr>
          <w:rFonts w:eastAsia="Arial Unicode MS" w:cs="Times New Roman"/>
          <w:bCs/>
          <w:sz w:val="22"/>
          <w:szCs w:val="22"/>
          <w:lang w:eastAsia="en-GB"/>
        </w:rPr>
        <w:t xml:space="preserve">This report provides assurance that adequate controls are being operated within </w:t>
      </w:r>
      <w:r w:rsidRPr="005F200C">
        <w:rPr>
          <w:rFonts w:eastAsia="Arial Unicode MS" w:cs="Times New Roman"/>
          <w:bCs/>
          <w:sz w:val="22"/>
          <w:szCs w:val="22"/>
          <w:lang w:eastAsia="en-GB"/>
        </w:rPr>
        <w:t>the trust, based</w:t>
      </w:r>
      <w:r w:rsidRPr="00FC02DB">
        <w:rPr>
          <w:rFonts w:eastAsia="Arial Unicode MS" w:cs="Times New Roman"/>
          <w:bCs/>
          <w:sz w:val="22"/>
          <w:szCs w:val="22"/>
          <w:lang w:eastAsia="en-GB"/>
        </w:rPr>
        <w:t xml:space="preserve"> on the understanding that the information provided during the review</w:t>
      </w:r>
      <w:r>
        <w:rPr>
          <w:rFonts w:eastAsia="Arial Unicode MS" w:cs="Times New Roman"/>
          <w:bCs/>
          <w:sz w:val="22"/>
          <w:szCs w:val="22"/>
          <w:lang w:eastAsia="en-GB"/>
        </w:rPr>
        <w:t xml:space="preserve"> </w:t>
      </w:r>
      <w:r w:rsidRPr="00FC02DB">
        <w:rPr>
          <w:rFonts w:eastAsia="Arial Unicode MS" w:cs="Times New Roman"/>
          <w:bCs/>
          <w:sz w:val="22"/>
          <w:szCs w:val="22"/>
          <w:lang w:eastAsia="en-GB"/>
        </w:rPr>
        <w:t xml:space="preserve">is accurate and complete. It should be noted however that recommendations to improve controls, if implemented, cannot guarantee that fraud or misappropriation could not occur. </w:t>
      </w:r>
    </w:p>
    <w:p w14:paraId="7449548E" w14:textId="77777777" w:rsidR="00D50B64" w:rsidRDefault="00D50B64" w:rsidP="00D50B64">
      <w:pPr>
        <w:keepNext/>
        <w:spacing w:after="0" w:line="240" w:lineRule="auto"/>
        <w:outlineLvl w:val="0"/>
        <w:rPr>
          <w:rFonts w:eastAsia="Arial Unicode MS" w:cs="Times New Roman"/>
          <w:sz w:val="22"/>
          <w:szCs w:val="22"/>
          <w:lang w:eastAsia="en-GB"/>
        </w:rPr>
      </w:pPr>
      <w:r w:rsidRPr="00FC02DB">
        <w:rPr>
          <w:sz w:val="22"/>
          <w:szCs w:val="22"/>
        </w:rPr>
        <w:t xml:space="preserve">Recommendations raised in the report issued </w:t>
      </w:r>
      <w:r w:rsidRPr="00FC02DB">
        <w:rPr>
          <w:rFonts w:eastAsia="Arial Unicode MS" w:cs="Times New Roman"/>
          <w:sz w:val="22"/>
          <w:szCs w:val="22"/>
          <w:lang w:eastAsia="en-GB"/>
        </w:rPr>
        <w:t xml:space="preserve">should be considered by the board of trustees / Audit and Risk Committee to assist them in providing assurance over the suitability of, and compliance with, the systems and operational controls in place. </w:t>
      </w:r>
    </w:p>
    <w:p w14:paraId="3C3DBD8E" w14:textId="77777777" w:rsidR="00D50B64" w:rsidRPr="005B3080" w:rsidRDefault="00D50B64" w:rsidP="00D50B64">
      <w:pPr>
        <w:autoSpaceDE w:val="0"/>
        <w:autoSpaceDN w:val="0"/>
        <w:adjustRightInd w:val="0"/>
        <w:spacing w:after="0" w:line="240" w:lineRule="auto"/>
        <w:rPr>
          <w:rFonts w:cs="Calibri"/>
          <w:color w:val="000000"/>
          <w:sz w:val="22"/>
          <w:szCs w:val="22"/>
        </w:rPr>
      </w:pPr>
      <w:r>
        <w:rPr>
          <w:color w:val="000000"/>
          <w:sz w:val="22"/>
          <w:szCs w:val="22"/>
        </w:rPr>
        <w:t>No fraud was identified or reported to us for the 202</w:t>
      </w:r>
      <w:r w:rsidR="005F200C">
        <w:rPr>
          <w:color w:val="000000"/>
          <w:sz w:val="22"/>
          <w:szCs w:val="22"/>
        </w:rPr>
        <w:t>2</w:t>
      </w:r>
      <w:r>
        <w:rPr>
          <w:color w:val="000000"/>
          <w:sz w:val="22"/>
          <w:szCs w:val="22"/>
        </w:rPr>
        <w:t>-2</w:t>
      </w:r>
      <w:r w:rsidR="005F200C">
        <w:rPr>
          <w:color w:val="000000"/>
          <w:sz w:val="22"/>
          <w:szCs w:val="22"/>
        </w:rPr>
        <w:t>3</w:t>
      </w:r>
      <w:r>
        <w:rPr>
          <w:color w:val="000000"/>
          <w:sz w:val="22"/>
          <w:szCs w:val="22"/>
        </w:rPr>
        <w:t xml:space="preserve"> period.</w:t>
      </w:r>
      <w:r w:rsidRPr="005B3080">
        <w:rPr>
          <w:rFonts w:cs="Calibri"/>
          <w:color w:val="000000"/>
          <w:sz w:val="22"/>
          <w:szCs w:val="22"/>
        </w:rPr>
        <w:t xml:space="preserve"> It remains the </w:t>
      </w:r>
      <w:r>
        <w:rPr>
          <w:rFonts w:cs="Calibri"/>
          <w:color w:val="000000"/>
          <w:sz w:val="22"/>
          <w:szCs w:val="22"/>
        </w:rPr>
        <w:t>responsibility:</w:t>
      </w:r>
      <w:r w:rsidRPr="005B3080">
        <w:rPr>
          <w:rFonts w:cs="Calibri"/>
          <w:color w:val="000000"/>
          <w:sz w:val="22"/>
          <w:szCs w:val="22"/>
        </w:rPr>
        <w:t xml:space="preserve"> of management to manage the control environment to help identify potential fraud and prevent the likelihood of fraud occurring. </w:t>
      </w:r>
    </w:p>
    <w:p w14:paraId="279DBD17"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696BE04A"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6A8854EA"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0B2E93A4"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14E2AD02"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5713E291"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30E7C166"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45F32F09"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1D6042F7"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10F5B747"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3D84E573" w14:textId="77777777" w:rsidR="00D50B64" w:rsidRPr="00BC4175" w:rsidRDefault="00D50B64" w:rsidP="00143CE0">
      <w:pPr>
        <w:pStyle w:val="Sub-heading"/>
      </w:pPr>
      <w:r w:rsidRPr="00BC4175">
        <w:lastRenderedPageBreak/>
        <w:t>Introduction</w:t>
      </w:r>
    </w:p>
    <w:p w14:paraId="2E6351A2" w14:textId="77777777" w:rsidR="00D50B64" w:rsidRDefault="00D50B64" w:rsidP="00D50B64">
      <w:pPr>
        <w:tabs>
          <w:tab w:val="left" w:pos="13125"/>
          <w:tab w:val="left" w:pos="14160"/>
        </w:tabs>
        <w:spacing w:after="0" w:line="240" w:lineRule="auto"/>
        <w:ind w:right="917"/>
        <w:rPr>
          <w:rFonts w:eastAsia="Arial Unicode MS"/>
          <w:bCs/>
          <w:color w:val="1A1A1A" w:themeColor="text1"/>
          <w:sz w:val="22"/>
          <w:szCs w:val="22"/>
        </w:rPr>
      </w:pPr>
      <w:r>
        <w:rPr>
          <w:rFonts w:eastAsia="Arial Unicode MS"/>
          <w:bCs/>
          <w:color w:val="1A1A1A" w:themeColor="text1"/>
          <w:sz w:val="22"/>
          <w:szCs w:val="22"/>
        </w:rPr>
        <w:t xml:space="preserve">The Academy trust handbook section 3.1 specifies “all academy trusts </w:t>
      </w:r>
      <w:r w:rsidRPr="00267C90">
        <w:rPr>
          <w:rFonts w:eastAsia="Arial Unicode MS"/>
          <w:b/>
          <w:color w:val="1A1A1A" w:themeColor="text1"/>
          <w:sz w:val="22"/>
          <w:szCs w:val="22"/>
        </w:rPr>
        <w:t>must</w:t>
      </w:r>
      <w:r>
        <w:rPr>
          <w:rFonts w:eastAsia="Arial Unicode MS"/>
          <w:bCs/>
          <w:color w:val="1A1A1A" w:themeColor="text1"/>
          <w:sz w:val="22"/>
          <w:szCs w:val="22"/>
        </w:rPr>
        <w:t xml:space="preserve"> have a programme of internal scrutiny to provide independent assurance to the board that its financial and non-financial controls and risk management procedures are operating effectively”.  Providing that the trust has selected a scope of work for financial and non-financial controls and has considered its risk register, this Internal Scrutiny Report demonstrates how the trust meets the Academy trust handbook 202</w:t>
      </w:r>
      <w:r w:rsidR="00DB3654">
        <w:rPr>
          <w:rFonts w:eastAsia="Arial Unicode MS"/>
          <w:bCs/>
          <w:color w:val="1A1A1A" w:themeColor="text1"/>
          <w:sz w:val="22"/>
          <w:szCs w:val="22"/>
        </w:rPr>
        <w:t>2</w:t>
      </w:r>
      <w:r>
        <w:rPr>
          <w:rFonts w:eastAsia="Arial Unicode MS"/>
          <w:bCs/>
          <w:color w:val="1A1A1A" w:themeColor="text1"/>
          <w:sz w:val="22"/>
          <w:szCs w:val="22"/>
        </w:rPr>
        <w:t xml:space="preserve"> </w:t>
      </w:r>
      <w:r w:rsidR="004810B6">
        <w:rPr>
          <w:rFonts w:eastAsia="Arial Unicode MS"/>
          <w:bCs/>
          <w:color w:val="1A1A1A" w:themeColor="text1"/>
          <w:sz w:val="22"/>
          <w:szCs w:val="22"/>
        </w:rPr>
        <w:t xml:space="preserve">internal scrutiny </w:t>
      </w:r>
      <w:r>
        <w:rPr>
          <w:rFonts w:eastAsia="Arial Unicode MS"/>
          <w:bCs/>
          <w:color w:val="1A1A1A" w:themeColor="text1"/>
          <w:sz w:val="22"/>
          <w:szCs w:val="22"/>
        </w:rPr>
        <w:t>requiremen</w:t>
      </w:r>
      <w:r w:rsidR="00DB3654">
        <w:rPr>
          <w:rFonts w:eastAsia="Arial Unicode MS"/>
          <w:bCs/>
          <w:color w:val="1A1A1A" w:themeColor="text1"/>
          <w:sz w:val="22"/>
          <w:szCs w:val="22"/>
        </w:rPr>
        <w:t>t</w:t>
      </w:r>
      <w:r w:rsidR="004810B6">
        <w:rPr>
          <w:rFonts w:eastAsia="Arial Unicode MS"/>
          <w:bCs/>
          <w:color w:val="1A1A1A" w:themeColor="text1"/>
          <w:sz w:val="22"/>
          <w:szCs w:val="22"/>
        </w:rPr>
        <w:t>s.</w:t>
      </w:r>
    </w:p>
    <w:p w14:paraId="333F7A0F" w14:textId="77777777" w:rsidR="00DB3654" w:rsidRDefault="00DB3654" w:rsidP="00D50B64">
      <w:pPr>
        <w:tabs>
          <w:tab w:val="left" w:pos="13125"/>
          <w:tab w:val="left" w:pos="14160"/>
        </w:tabs>
        <w:spacing w:after="0" w:line="240" w:lineRule="auto"/>
        <w:ind w:right="917"/>
        <w:rPr>
          <w:rFonts w:eastAsia="Arial Unicode MS"/>
          <w:bCs/>
          <w:color w:val="1A1A1A" w:themeColor="text1"/>
          <w:sz w:val="22"/>
          <w:szCs w:val="22"/>
        </w:rPr>
      </w:pPr>
    </w:p>
    <w:p w14:paraId="253A72DC" w14:textId="77777777" w:rsidR="00D50B64" w:rsidRPr="00647ED2" w:rsidRDefault="00D50B64" w:rsidP="00DB3654">
      <w:pPr>
        <w:tabs>
          <w:tab w:val="left" w:pos="13125"/>
          <w:tab w:val="left" w:pos="14160"/>
        </w:tabs>
        <w:spacing w:after="0" w:line="240" w:lineRule="auto"/>
        <w:ind w:right="917"/>
        <w:rPr>
          <w:rFonts w:eastAsia="Arial Unicode MS" w:cs="Arial"/>
          <w:b/>
          <w:color w:val="514972" w:themeColor="accent2" w:themeShade="BF"/>
          <w:sz w:val="24"/>
          <w:szCs w:val="28"/>
          <w:lang w:eastAsia="en-GB"/>
        </w:rPr>
      </w:pPr>
      <w:r w:rsidRPr="00647ED2">
        <w:rPr>
          <w:rFonts w:eastAsia="Arial Unicode MS" w:cs="Arial"/>
          <w:b/>
          <w:color w:val="514972" w:themeColor="accent2" w:themeShade="BF"/>
          <w:sz w:val="24"/>
          <w:szCs w:val="28"/>
          <w:lang w:eastAsia="en-GB"/>
        </w:rPr>
        <w:t>Please note that this report is an exception report and therefore only contains the details of any issues arising from the review of the scope of work detailed below.</w:t>
      </w:r>
    </w:p>
    <w:p w14:paraId="4E551A7E" w14:textId="77777777" w:rsidR="00D50B64" w:rsidRDefault="00D50B64" w:rsidP="00D50B64">
      <w:pPr>
        <w:tabs>
          <w:tab w:val="left" w:pos="13125"/>
          <w:tab w:val="left" w:pos="14160"/>
        </w:tabs>
        <w:spacing w:after="0" w:line="240" w:lineRule="auto"/>
        <w:ind w:right="917"/>
        <w:rPr>
          <w:rFonts w:eastAsia="Arial Unicode MS"/>
          <w:bCs/>
          <w:color w:val="1A1A1A" w:themeColor="text1"/>
          <w:sz w:val="22"/>
          <w:szCs w:val="22"/>
        </w:rPr>
      </w:pPr>
    </w:p>
    <w:p w14:paraId="355E2E01" w14:textId="77777777" w:rsidR="00B449C8" w:rsidRDefault="00B449C8">
      <w:pPr>
        <w:suppressAutoHyphens w:val="0"/>
        <w:spacing w:before="0" w:after="0" w:line="240" w:lineRule="auto"/>
        <w:rPr>
          <w:rFonts w:ascii="Franklin Gothic Medium" w:eastAsia="Arial Unicode MS" w:hAnsi="Franklin Gothic Medium" w:cs="Times New Roman (Headings CS)"/>
          <w:color w:val="2C1B57" w:themeColor="accent1" w:themeTint="E6"/>
          <w:sz w:val="28"/>
          <w:szCs w:val="30"/>
        </w:rPr>
      </w:pPr>
      <w:r>
        <w:br w:type="page"/>
      </w:r>
    </w:p>
    <w:p w14:paraId="31E632EF" w14:textId="728D64BA" w:rsidR="00D50B64" w:rsidRPr="00BC4175" w:rsidRDefault="00D50B64" w:rsidP="00143CE0">
      <w:pPr>
        <w:pStyle w:val="Sub-heading"/>
      </w:pPr>
      <w:r w:rsidRPr="00BC4175">
        <w:lastRenderedPageBreak/>
        <w:t>Scope</w:t>
      </w:r>
    </w:p>
    <w:p w14:paraId="673CC886" w14:textId="77777777" w:rsidR="00D50B64" w:rsidRPr="00267C90" w:rsidRDefault="00D50B64" w:rsidP="00D50B64">
      <w:pPr>
        <w:tabs>
          <w:tab w:val="left" w:pos="13125"/>
          <w:tab w:val="left" w:pos="14160"/>
        </w:tabs>
        <w:spacing w:after="0" w:line="240" w:lineRule="auto"/>
        <w:ind w:right="917"/>
        <w:rPr>
          <w:rFonts w:eastAsia="Arial Unicode MS"/>
          <w:bCs/>
          <w:color w:val="1A1A1A" w:themeColor="text1"/>
          <w:sz w:val="22"/>
          <w:szCs w:val="22"/>
        </w:rPr>
      </w:pPr>
      <w:r>
        <w:rPr>
          <w:rFonts w:eastAsia="Arial Unicode MS"/>
          <w:bCs/>
          <w:color w:val="1A1A1A" w:themeColor="text1"/>
          <w:sz w:val="22"/>
          <w:szCs w:val="22"/>
        </w:rPr>
        <w:t>The relevant board</w:t>
      </w:r>
      <w:r w:rsidR="00A16EF9">
        <w:rPr>
          <w:rFonts w:eastAsia="Arial Unicode MS"/>
          <w:bCs/>
          <w:color w:val="1A1A1A" w:themeColor="text1"/>
          <w:sz w:val="22"/>
          <w:szCs w:val="22"/>
        </w:rPr>
        <w:t>, informed by its risk register</w:t>
      </w:r>
      <w:r>
        <w:rPr>
          <w:rFonts w:eastAsia="Arial Unicode MS"/>
          <w:bCs/>
          <w:color w:val="1A1A1A" w:themeColor="text1"/>
          <w:sz w:val="22"/>
          <w:szCs w:val="22"/>
        </w:rPr>
        <w:t xml:space="preserve"> approved the below scope of work:</w:t>
      </w:r>
    </w:p>
    <w:p w14:paraId="21E5A462" w14:textId="77777777" w:rsidR="00D50B64" w:rsidRDefault="00D50B64" w:rsidP="00D50B64">
      <w:pPr>
        <w:rPr>
          <w:rFonts w:eastAsia="Arial Unicode MS"/>
          <w:bCs/>
          <w:color w:val="1A1A1A" w:themeColor="text1"/>
          <w:sz w:val="22"/>
          <w:szCs w:val="22"/>
        </w:rPr>
      </w:pPr>
    </w:p>
    <w:tbl>
      <w:tblPr>
        <w:tblW w:w="12220" w:type="dxa"/>
        <w:tblLook w:val="04A0" w:firstRow="1" w:lastRow="0" w:firstColumn="1" w:lastColumn="0" w:noHBand="0" w:noVBand="1"/>
      </w:tblPr>
      <w:tblGrid>
        <w:gridCol w:w="5982"/>
        <w:gridCol w:w="222"/>
        <w:gridCol w:w="6016"/>
      </w:tblGrid>
      <w:tr w:rsidR="00B449C8" w:rsidRPr="00B449C8" w14:paraId="52D2DB8C" w14:textId="77777777" w:rsidTr="00B449C8">
        <w:trPr>
          <w:trHeight w:val="312"/>
        </w:trPr>
        <w:tc>
          <w:tcPr>
            <w:tcW w:w="5982" w:type="dxa"/>
            <w:tcBorders>
              <w:top w:val="single" w:sz="8" w:space="0" w:color="auto"/>
              <w:left w:val="single" w:sz="8" w:space="0" w:color="auto"/>
              <w:bottom w:val="single" w:sz="8" w:space="0" w:color="auto"/>
              <w:right w:val="nil"/>
            </w:tcBorders>
            <w:shd w:val="clear" w:color="000000" w:fill="2C2242"/>
            <w:vAlign w:val="center"/>
            <w:hideMark/>
          </w:tcPr>
          <w:p w14:paraId="17F7F5F3" w14:textId="77777777" w:rsidR="00B449C8" w:rsidRPr="00B449C8" w:rsidRDefault="00B449C8" w:rsidP="00B449C8">
            <w:pPr>
              <w:suppressAutoHyphens w:val="0"/>
              <w:spacing w:before="0" w:after="0" w:line="240" w:lineRule="auto"/>
              <w:rPr>
                <w:rFonts w:eastAsia="Times New Roman" w:cs="Calibri"/>
                <w:b/>
                <w:bCs/>
                <w:color w:val="FFFFFF"/>
                <w:sz w:val="22"/>
                <w:szCs w:val="22"/>
                <w:lang w:eastAsia="en-GB"/>
                <w14:ligatures w14:val="none"/>
              </w:rPr>
            </w:pPr>
            <w:r w:rsidRPr="00B449C8">
              <w:rPr>
                <w:rFonts w:eastAsia="Times New Roman" w:cs="Calibri"/>
                <w:b/>
                <w:bCs/>
                <w:color w:val="FFFFFF"/>
                <w:sz w:val="22"/>
                <w:szCs w:val="22"/>
                <w:lang w:eastAsia="en-GB"/>
                <w14:ligatures w14:val="none"/>
              </w:rPr>
              <w:t xml:space="preserve">Financial Governance </w:t>
            </w:r>
          </w:p>
        </w:tc>
        <w:tc>
          <w:tcPr>
            <w:tcW w:w="222" w:type="dxa"/>
            <w:tcBorders>
              <w:top w:val="nil"/>
              <w:left w:val="nil"/>
              <w:bottom w:val="nil"/>
              <w:right w:val="nil"/>
            </w:tcBorders>
            <w:shd w:val="clear" w:color="auto" w:fill="auto"/>
            <w:noWrap/>
            <w:vAlign w:val="bottom"/>
            <w:hideMark/>
          </w:tcPr>
          <w:p w14:paraId="1EA33755" w14:textId="77777777" w:rsidR="00B449C8" w:rsidRPr="00B449C8" w:rsidRDefault="00B449C8" w:rsidP="00B449C8">
            <w:pPr>
              <w:suppressAutoHyphens w:val="0"/>
              <w:spacing w:before="0" w:after="0" w:line="240" w:lineRule="auto"/>
              <w:rPr>
                <w:rFonts w:eastAsia="Times New Roman" w:cs="Calibri"/>
                <w:b/>
                <w:bCs/>
                <w:color w:val="FFFFFF"/>
                <w:sz w:val="22"/>
                <w:szCs w:val="22"/>
                <w:lang w:eastAsia="en-GB"/>
                <w14:ligatures w14:val="none"/>
              </w:rPr>
            </w:pPr>
          </w:p>
        </w:tc>
        <w:tc>
          <w:tcPr>
            <w:tcW w:w="6016" w:type="dxa"/>
            <w:tcBorders>
              <w:top w:val="single" w:sz="8" w:space="0" w:color="auto"/>
              <w:left w:val="single" w:sz="8" w:space="0" w:color="auto"/>
              <w:bottom w:val="single" w:sz="8" w:space="0" w:color="auto"/>
              <w:right w:val="nil"/>
            </w:tcBorders>
            <w:shd w:val="clear" w:color="000000" w:fill="2C2242"/>
            <w:vAlign w:val="center"/>
            <w:hideMark/>
          </w:tcPr>
          <w:p w14:paraId="768E795D" w14:textId="77777777" w:rsidR="00B449C8" w:rsidRPr="00B449C8" w:rsidRDefault="00B449C8" w:rsidP="00B449C8">
            <w:pPr>
              <w:suppressAutoHyphens w:val="0"/>
              <w:spacing w:before="0" w:after="0" w:line="240" w:lineRule="auto"/>
              <w:rPr>
                <w:rFonts w:eastAsia="Times New Roman" w:cs="Calibri"/>
                <w:b/>
                <w:bCs/>
                <w:color w:val="FFFFFF"/>
                <w:sz w:val="22"/>
                <w:szCs w:val="22"/>
                <w:lang w:eastAsia="en-GB"/>
                <w14:ligatures w14:val="none"/>
              </w:rPr>
            </w:pPr>
            <w:r w:rsidRPr="00B449C8">
              <w:rPr>
                <w:rFonts w:eastAsia="Times New Roman" w:cs="Calibri"/>
                <w:b/>
                <w:bCs/>
                <w:color w:val="FFFFFF"/>
                <w:sz w:val="22"/>
                <w:szCs w:val="22"/>
                <w:lang w:eastAsia="en-GB"/>
                <w14:ligatures w14:val="none"/>
              </w:rPr>
              <w:t xml:space="preserve">Income </w:t>
            </w:r>
          </w:p>
        </w:tc>
      </w:tr>
      <w:tr w:rsidR="00B449C8" w:rsidRPr="00B449C8" w14:paraId="2EE55BF6" w14:textId="77777777" w:rsidTr="00B449C8">
        <w:trPr>
          <w:trHeight w:val="912"/>
        </w:trPr>
        <w:tc>
          <w:tcPr>
            <w:tcW w:w="5982" w:type="dxa"/>
            <w:tcBorders>
              <w:top w:val="single" w:sz="4" w:space="0" w:color="auto"/>
              <w:left w:val="single" w:sz="4" w:space="0" w:color="auto"/>
              <w:bottom w:val="single" w:sz="4" w:space="0" w:color="auto"/>
              <w:right w:val="single" w:sz="4" w:space="0" w:color="auto"/>
            </w:tcBorders>
            <w:shd w:val="clear" w:color="000000" w:fill="BCAAE6"/>
            <w:vAlign w:val="center"/>
            <w:hideMark/>
          </w:tcPr>
          <w:p w14:paraId="7E3D5FF3" w14:textId="77777777" w:rsidR="00B449C8" w:rsidRPr="00B449C8" w:rsidRDefault="00B449C8" w:rsidP="00B449C8">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Internal controls and processes in place for Reporting, Scheme of Delegation and Financial Planning and Monitoring.</w:t>
            </w:r>
          </w:p>
        </w:tc>
        <w:tc>
          <w:tcPr>
            <w:tcW w:w="222" w:type="dxa"/>
            <w:tcBorders>
              <w:top w:val="nil"/>
              <w:left w:val="nil"/>
              <w:bottom w:val="nil"/>
              <w:right w:val="nil"/>
            </w:tcBorders>
            <w:shd w:val="clear" w:color="auto" w:fill="auto"/>
            <w:noWrap/>
            <w:vAlign w:val="bottom"/>
            <w:hideMark/>
          </w:tcPr>
          <w:p w14:paraId="1396E22B" w14:textId="77777777" w:rsidR="00B449C8" w:rsidRPr="00B449C8" w:rsidRDefault="00B449C8" w:rsidP="00B449C8">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single" w:sz="4" w:space="0" w:color="auto"/>
              <w:left w:val="single" w:sz="4" w:space="0" w:color="auto"/>
              <w:bottom w:val="single" w:sz="4" w:space="0" w:color="auto"/>
              <w:right w:val="single" w:sz="4" w:space="0" w:color="auto"/>
            </w:tcBorders>
            <w:shd w:val="clear" w:color="000000" w:fill="BCAAE6"/>
            <w:vAlign w:val="center"/>
            <w:hideMark/>
          </w:tcPr>
          <w:p w14:paraId="1E6F4CE3" w14:textId="77777777" w:rsidR="00B449C8" w:rsidRPr="00B449C8" w:rsidRDefault="00B449C8" w:rsidP="00B449C8">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Review to determine the controls and process in place for income and, if applicable, testing to determine the effectiveness of the controls.</w:t>
            </w:r>
          </w:p>
        </w:tc>
      </w:tr>
      <w:tr w:rsidR="00B449C8" w:rsidRPr="00B449C8" w14:paraId="022DD1F0" w14:textId="77777777" w:rsidTr="00B449C8">
        <w:trPr>
          <w:trHeight w:val="312"/>
        </w:trPr>
        <w:tc>
          <w:tcPr>
            <w:tcW w:w="5982" w:type="dxa"/>
            <w:tcBorders>
              <w:top w:val="nil"/>
              <w:left w:val="single" w:sz="4" w:space="0" w:color="auto"/>
              <w:bottom w:val="single" w:sz="4" w:space="0" w:color="auto"/>
              <w:right w:val="single" w:sz="4" w:space="0" w:color="auto"/>
            </w:tcBorders>
            <w:shd w:val="clear" w:color="000000" w:fill="FFFFFF"/>
            <w:hideMark/>
          </w:tcPr>
          <w:p w14:paraId="3005A863" w14:textId="77777777" w:rsidR="00B449C8" w:rsidRPr="00B449C8" w:rsidRDefault="00B449C8" w:rsidP="00B449C8">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Scheme of Delegation</w:t>
            </w:r>
          </w:p>
        </w:tc>
        <w:tc>
          <w:tcPr>
            <w:tcW w:w="222" w:type="dxa"/>
            <w:tcBorders>
              <w:top w:val="nil"/>
              <w:left w:val="nil"/>
              <w:bottom w:val="nil"/>
              <w:right w:val="nil"/>
            </w:tcBorders>
            <w:shd w:val="clear" w:color="auto" w:fill="auto"/>
            <w:noWrap/>
            <w:vAlign w:val="bottom"/>
            <w:hideMark/>
          </w:tcPr>
          <w:p w14:paraId="6419A465" w14:textId="77777777" w:rsidR="00B449C8" w:rsidRPr="00B449C8" w:rsidRDefault="00B449C8" w:rsidP="00B449C8">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single" w:sz="4" w:space="0" w:color="auto"/>
              <w:bottom w:val="single" w:sz="4" w:space="0" w:color="auto"/>
              <w:right w:val="single" w:sz="4" w:space="0" w:color="auto"/>
            </w:tcBorders>
            <w:shd w:val="clear" w:color="000000" w:fill="FFFFFF"/>
            <w:hideMark/>
          </w:tcPr>
          <w:p w14:paraId="46C4AD01" w14:textId="77777777" w:rsidR="00B449C8" w:rsidRPr="00B449C8" w:rsidRDefault="00B449C8" w:rsidP="00B449C8">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Breakfast / Afterschool Club</w:t>
            </w:r>
          </w:p>
        </w:tc>
      </w:tr>
      <w:tr w:rsidR="00B449C8" w:rsidRPr="00B449C8" w14:paraId="7B276BA7" w14:textId="77777777" w:rsidTr="00B449C8">
        <w:trPr>
          <w:trHeight w:val="312"/>
        </w:trPr>
        <w:tc>
          <w:tcPr>
            <w:tcW w:w="5982" w:type="dxa"/>
            <w:tcBorders>
              <w:top w:val="nil"/>
              <w:left w:val="single" w:sz="4" w:space="0" w:color="auto"/>
              <w:bottom w:val="single" w:sz="4" w:space="0" w:color="auto"/>
              <w:right w:val="single" w:sz="4" w:space="0" w:color="auto"/>
            </w:tcBorders>
            <w:shd w:val="clear" w:color="auto" w:fill="auto"/>
            <w:hideMark/>
          </w:tcPr>
          <w:p w14:paraId="32DB9E1C" w14:textId="77777777" w:rsidR="00B449C8" w:rsidRPr="00B449C8" w:rsidRDefault="00B449C8" w:rsidP="00B449C8">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Financial Scrutiny</w:t>
            </w:r>
          </w:p>
        </w:tc>
        <w:tc>
          <w:tcPr>
            <w:tcW w:w="222" w:type="dxa"/>
            <w:tcBorders>
              <w:top w:val="nil"/>
              <w:left w:val="nil"/>
              <w:bottom w:val="nil"/>
              <w:right w:val="nil"/>
            </w:tcBorders>
            <w:shd w:val="clear" w:color="auto" w:fill="auto"/>
            <w:noWrap/>
            <w:vAlign w:val="bottom"/>
            <w:hideMark/>
          </w:tcPr>
          <w:p w14:paraId="2E4D5B50" w14:textId="77777777" w:rsidR="00B449C8" w:rsidRPr="00B449C8" w:rsidRDefault="00B449C8" w:rsidP="00B449C8">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single" w:sz="4" w:space="0" w:color="auto"/>
              <w:bottom w:val="single" w:sz="4" w:space="0" w:color="auto"/>
              <w:right w:val="single" w:sz="4" w:space="0" w:color="auto"/>
            </w:tcBorders>
            <w:shd w:val="clear" w:color="auto" w:fill="auto"/>
            <w:hideMark/>
          </w:tcPr>
          <w:p w14:paraId="68B4CCF3" w14:textId="77777777" w:rsidR="00B449C8" w:rsidRPr="00B449C8" w:rsidRDefault="00B449C8" w:rsidP="00B449C8">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Meals</w:t>
            </w:r>
          </w:p>
        </w:tc>
      </w:tr>
      <w:tr w:rsidR="00B449C8" w:rsidRPr="00B449C8" w14:paraId="62A76803" w14:textId="77777777" w:rsidTr="00B449C8">
        <w:trPr>
          <w:trHeight w:val="312"/>
        </w:trPr>
        <w:tc>
          <w:tcPr>
            <w:tcW w:w="5982" w:type="dxa"/>
            <w:tcBorders>
              <w:top w:val="nil"/>
              <w:left w:val="single" w:sz="4" w:space="0" w:color="auto"/>
              <w:bottom w:val="single" w:sz="4" w:space="0" w:color="auto"/>
              <w:right w:val="single" w:sz="4" w:space="0" w:color="auto"/>
            </w:tcBorders>
            <w:shd w:val="clear" w:color="auto" w:fill="auto"/>
            <w:hideMark/>
          </w:tcPr>
          <w:p w14:paraId="3259DCA8" w14:textId="77777777" w:rsidR="00B449C8" w:rsidRPr="00B449C8" w:rsidRDefault="00B449C8" w:rsidP="00B449C8">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Financial Planning</w:t>
            </w:r>
          </w:p>
        </w:tc>
        <w:tc>
          <w:tcPr>
            <w:tcW w:w="222" w:type="dxa"/>
            <w:tcBorders>
              <w:top w:val="nil"/>
              <w:left w:val="nil"/>
              <w:bottom w:val="nil"/>
              <w:right w:val="nil"/>
            </w:tcBorders>
            <w:shd w:val="clear" w:color="auto" w:fill="auto"/>
            <w:noWrap/>
            <w:vAlign w:val="bottom"/>
            <w:hideMark/>
          </w:tcPr>
          <w:p w14:paraId="3C72DD97" w14:textId="77777777" w:rsidR="00B449C8" w:rsidRPr="00B449C8" w:rsidRDefault="00B449C8" w:rsidP="00B449C8">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single" w:sz="4" w:space="0" w:color="auto"/>
              <w:bottom w:val="single" w:sz="4" w:space="0" w:color="auto"/>
              <w:right w:val="single" w:sz="4" w:space="0" w:color="auto"/>
            </w:tcBorders>
            <w:shd w:val="clear" w:color="auto" w:fill="auto"/>
            <w:hideMark/>
          </w:tcPr>
          <w:p w14:paraId="1DABCB6A" w14:textId="77777777" w:rsidR="00B449C8" w:rsidRPr="00B449C8" w:rsidRDefault="00B449C8" w:rsidP="00B449C8">
            <w:pPr>
              <w:suppressAutoHyphens w:val="0"/>
              <w:spacing w:before="0" w:after="0" w:line="240" w:lineRule="auto"/>
              <w:rPr>
                <w:rFonts w:eastAsia="Times New Roman" w:cs="Calibri"/>
                <w:sz w:val="22"/>
                <w:szCs w:val="22"/>
                <w:lang w:eastAsia="en-GB"/>
                <w14:ligatures w14:val="none"/>
              </w:rPr>
            </w:pPr>
            <w:r w:rsidRPr="00B449C8">
              <w:rPr>
                <w:rFonts w:eastAsia="Times New Roman" w:cs="Calibri"/>
                <w:sz w:val="22"/>
                <w:szCs w:val="22"/>
                <w:lang w:eastAsia="en-GB"/>
                <w14:ligatures w14:val="none"/>
              </w:rPr>
              <w:t>Trips and activities</w:t>
            </w:r>
          </w:p>
        </w:tc>
      </w:tr>
      <w:tr w:rsidR="00B449C8" w:rsidRPr="00B449C8" w14:paraId="4F37C428" w14:textId="77777777" w:rsidTr="00B449C8">
        <w:trPr>
          <w:trHeight w:val="312"/>
        </w:trPr>
        <w:tc>
          <w:tcPr>
            <w:tcW w:w="5982" w:type="dxa"/>
            <w:tcBorders>
              <w:top w:val="nil"/>
              <w:left w:val="single" w:sz="4" w:space="0" w:color="auto"/>
              <w:bottom w:val="single" w:sz="4" w:space="0" w:color="auto"/>
              <w:right w:val="single" w:sz="4" w:space="0" w:color="auto"/>
            </w:tcBorders>
            <w:shd w:val="clear" w:color="auto" w:fill="auto"/>
            <w:hideMark/>
          </w:tcPr>
          <w:p w14:paraId="4B4E385F" w14:textId="77777777" w:rsidR="00B449C8" w:rsidRPr="00B449C8" w:rsidRDefault="00B449C8" w:rsidP="00B449C8">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Expenses</w:t>
            </w:r>
          </w:p>
        </w:tc>
        <w:tc>
          <w:tcPr>
            <w:tcW w:w="222" w:type="dxa"/>
            <w:tcBorders>
              <w:top w:val="nil"/>
              <w:left w:val="nil"/>
              <w:bottom w:val="nil"/>
              <w:right w:val="nil"/>
            </w:tcBorders>
            <w:shd w:val="clear" w:color="auto" w:fill="auto"/>
            <w:noWrap/>
            <w:vAlign w:val="bottom"/>
            <w:hideMark/>
          </w:tcPr>
          <w:p w14:paraId="12D562F7" w14:textId="77777777" w:rsidR="00B449C8" w:rsidRPr="00B449C8" w:rsidRDefault="00B449C8" w:rsidP="00B449C8">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single" w:sz="4" w:space="0" w:color="auto"/>
              <w:bottom w:val="single" w:sz="4" w:space="0" w:color="auto"/>
              <w:right w:val="single" w:sz="4" w:space="0" w:color="auto"/>
            </w:tcBorders>
            <w:shd w:val="clear" w:color="auto" w:fill="auto"/>
            <w:hideMark/>
          </w:tcPr>
          <w:p w14:paraId="1F425807" w14:textId="77777777" w:rsidR="00B449C8" w:rsidRPr="00B449C8" w:rsidRDefault="00B449C8" w:rsidP="00B449C8">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Cash Income</w:t>
            </w:r>
          </w:p>
        </w:tc>
      </w:tr>
      <w:tr w:rsidR="00B449C8" w:rsidRPr="00B449C8" w14:paraId="64C3D78E" w14:textId="77777777" w:rsidTr="00B449C8">
        <w:trPr>
          <w:trHeight w:val="312"/>
        </w:trPr>
        <w:tc>
          <w:tcPr>
            <w:tcW w:w="5982" w:type="dxa"/>
            <w:tcBorders>
              <w:top w:val="nil"/>
              <w:left w:val="single" w:sz="4" w:space="0" w:color="auto"/>
              <w:bottom w:val="single" w:sz="4" w:space="0" w:color="auto"/>
              <w:right w:val="single" w:sz="4" w:space="0" w:color="auto"/>
            </w:tcBorders>
            <w:shd w:val="clear" w:color="auto" w:fill="auto"/>
            <w:vAlign w:val="center"/>
            <w:hideMark/>
          </w:tcPr>
          <w:p w14:paraId="296D148A" w14:textId="77777777" w:rsidR="00B449C8" w:rsidRPr="00B449C8" w:rsidRDefault="00B449C8" w:rsidP="00B449C8">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Budget Monitoring</w:t>
            </w:r>
          </w:p>
        </w:tc>
        <w:tc>
          <w:tcPr>
            <w:tcW w:w="222" w:type="dxa"/>
            <w:tcBorders>
              <w:top w:val="nil"/>
              <w:left w:val="nil"/>
              <w:bottom w:val="nil"/>
              <w:right w:val="nil"/>
            </w:tcBorders>
            <w:shd w:val="clear" w:color="auto" w:fill="auto"/>
            <w:noWrap/>
            <w:vAlign w:val="bottom"/>
            <w:hideMark/>
          </w:tcPr>
          <w:p w14:paraId="58B9BC16" w14:textId="77777777" w:rsidR="00B449C8" w:rsidRPr="00B449C8" w:rsidRDefault="00B449C8" w:rsidP="00B449C8">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single" w:sz="4" w:space="0" w:color="auto"/>
              <w:bottom w:val="single" w:sz="4" w:space="0" w:color="auto"/>
              <w:right w:val="single" w:sz="4" w:space="0" w:color="auto"/>
            </w:tcBorders>
            <w:shd w:val="clear" w:color="auto" w:fill="auto"/>
            <w:vAlign w:val="center"/>
            <w:hideMark/>
          </w:tcPr>
          <w:p w14:paraId="68717C8B" w14:textId="77777777" w:rsidR="00B449C8" w:rsidRPr="00B449C8" w:rsidRDefault="00B449C8" w:rsidP="00B449C8">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Online income</w:t>
            </w:r>
          </w:p>
        </w:tc>
      </w:tr>
      <w:tr w:rsidR="00B449C8" w:rsidRPr="00B449C8" w14:paraId="42E022D1" w14:textId="77777777" w:rsidTr="00B449C8">
        <w:trPr>
          <w:trHeight w:val="312"/>
        </w:trPr>
        <w:tc>
          <w:tcPr>
            <w:tcW w:w="5982" w:type="dxa"/>
            <w:tcBorders>
              <w:top w:val="nil"/>
              <w:left w:val="single" w:sz="4" w:space="0" w:color="auto"/>
              <w:bottom w:val="single" w:sz="4" w:space="0" w:color="auto"/>
              <w:right w:val="single" w:sz="4" w:space="0" w:color="auto"/>
            </w:tcBorders>
            <w:shd w:val="clear" w:color="auto" w:fill="auto"/>
            <w:hideMark/>
          </w:tcPr>
          <w:p w14:paraId="4831547A" w14:textId="77777777" w:rsidR="00B449C8" w:rsidRPr="00B449C8" w:rsidRDefault="00B449C8" w:rsidP="00B449C8">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Reporting to trustees</w:t>
            </w:r>
          </w:p>
        </w:tc>
        <w:tc>
          <w:tcPr>
            <w:tcW w:w="222" w:type="dxa"/>
            <w:tcBorders>
              <w:top w:val="nil"/>
              <w:left w:val="nil"/>
              <w:bottom w:val="nil"/>
              <w:right w:val="nil"/>
            </w:tcBorders>
            <w:shd w:val="clear" w:color="auto" w:fill="auto"/>
            <w:noWrap/>
            <w:vAlign w:val="bottom"/>
            <w:hideMark/>
          </w:tcPr>
          <w:p w14:paraId="2782A9C2" w14:textId="77777777" w:rsidR="00B449C8" w:rsidRPr="00B449C8" w:rsidRDefault="00B449C8" w:rsidP="00B449C8">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single" w:sz="4" w:space="0" w:color="auto"/>
              <w:left w:val="single" w:sz="4" w:space="0" w:color="auto"/>
              <w:bottom w:val="single" w:sz="4" w:space="0" w:color="auto"/>
              <w:right w:val="single" w:sz="4" w:space="0" w:color="auto"/>
            </w:tcBorders>
            <w:shd w:val="clear" w:color="auto" w:fill="auto"/>
            <w:hideMark/>
          </w:tcPr>
          <w:p w14:paraId="5AB73E5C" w14:textId="4608F0B0" w:rsidR="00B449C8" w:rsidRPr="00B449C8" w:rsidRDefault="00B449C8" w:rsidP="00B449C8">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Unresolved issues</w:t>
            </w:r>
          </w:p>
        </w:tc>
      </w:tr>
      <w:tr w:rsidR="00B449C8" w:rsidRPr="00B449C8" w14:paraId="41C799AA" w14:textId="77777777" w:rsidTr="00B449C8">
        <w:trPr>
          <w:trHeight w:val="312"/>
        </w:trPr>
        <w:tc>
          <w:tcPr>
            <w:tcW w:w="5982" w:type="dxa"/>
            <w:tcBorders>
              <w:top w:val="nil"/>
              <w:left w:val="single" w:sz="4" w:space="0" w:color="auto"/>
              <w:bottom w:val="single" w:sz="4" w:space="0" w:color="auto"/>
              <w:right w:val="single" w:sz="4" w:space="0" w:color="auto"/>
            </w:tcBorders>
            <w:shd w:val="clear" w:color="auto" w:fill="auto"/>
            <w:hideMark/>
          </w:tcPr>
          <w:p w14:paraId="2BA48C23" w14:textId="77777777" w:rsidR="00B449C8" w:rsidRPr="00B449C8" w:rsidRDefault="00B449C8" w:rsidP="00B449C8">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Control Account Reconciliations</w:t>
            </w:r>
          </w:p>
        </w:tc>
        <w:tc>
          <w:tcPr>
            <w:tcW w:w="222" w:type="dxa"/>
            <w:tcBorders>
              <w:top w:val="nil"/>
              <w:left w:val="nil"/>
              <w:bottom w:val="nil"/>
            </w:tcBorders>
            <w:shd w:val="clear" w:color="auto" w:fill="auto"/>
            <w:noWrap/>
            <w:vAlign w:val="bottom"/>
            <w:hideMark/>
          </w:tcPr>
          <w:p w14:paraId="62A0D6E1" w14:textId="77777777" w:rsidR="00B449C8" w:rsidRPr="00B449C8" w:rsidRDefault="00B449C8" w:rsidP="00B449C8">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single" w:sz="4" w:space="0" w:color="auto"/>
            </w:tcBorders>
            <w:shd w:val="clear" w:color="auto" w:fill="auto"/>
            <w:hideMark/>
          </w:tcPr>
          <w:p w14:paraId="4F607078" w14:textId="384EE737" w:rsidR="00B449C8" w:rsidRPr="00B449C8" w:rsidRDefault="00B449C8" w:rsidP="00B449C8">
            <w:pPr>
              <w:suppressAutoHyphens w:val="0"/>
              <w:spacing w:before="0" w:after="0" w:line="240" w:lineRule="auto"/>
              <w:rPr>
                <w:rFonts w:eastAsia="Times New Roman" w:cs="Calibri"/>
                <w:color w:val="1A1A1A"/>
                <w:sz w:val="22"/>
                <w:szCs w:val="22"/>
                <w:lang w:eastAsia="en-GB"/>
                <w14:ligatures w14:val="none"/>
              </w:rPr>
            </w:pPr>
          </w:p>
        </w:tc>
      </w:tr>
      <w:tr w:rsidR="00B449C8" w:rsidRPr="00B449C8" w14:paraId="65EB0CF2" w14:textId="77777777" w:rsidTr="00B449C8">
        <w:trPr>
          <w:trHeight w:val="300"/>
        </w:trPr>
        <w:tc>
          <w:tcPr>
            <w:tcW w:w="5982" w:type="dxa"/>
            <w:tcBorders>
              <w:top w:val="nil"/>
              <w:left w:val="single" w:sz="4" w:space="0" w:color="auto"/>
              <w:bottom w:val="single" w:sz="4" w:space="0" w:color="auto"/>
              <w:right w:val="single" w:sz="4" w:space="0" w:color="auto"/>
            </w:tcBorders>
            <w:shd w:val="clear" w:color="auto" w:fill="auto"/>
            <w:vAlign w:val="center"/>
            <w:hideMark/>
          </w:tcPr>
          <w:p w14:paraId="215EE215" w14:textId="77777777" w:rsidR="00B449C8" w:rsidRPr="00B449C8" w:rsidRDefault="00B449C8" w:rsidP="00B449C8">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Bad Debts</w:t>
            </w:r>
          </w:p>
        </w:tc>
        <w:tc>
          <w:tcPr>
            <w:tcW w:w="222" w:type="dxa"/>
            <w:tcBorders>
              <w:top w:val="nil"/>
              <w:left w:val="nil"/>
              <w:bottom w:val="nil"/>
              <w:right w:val="nil"/>
            </w:tcBorders>
            <w:shd w:val="clear" w:color="auto" w:fill="auto"/>
            <w:noWrap/>
            <w:vAlign w:val="bottom"/>
            <w:hideMark/>
          </w:tcPr>
          <w:p w14:paraId="5013F281" w14:textId="77777777" w:rsidR="00B449C8" w:rsidRPr="00B449C8" w:rsidRDefault="00B449C8" w:rsidP="00B449C8">
            <w:pPr>
              <w:suppressAutoHyphens w:val="0"/>
              <w:spacing w:before="0" w:after="0" w:line="240" w:lineRule="auto"/>
              <w:rPr>
                <w:rFonts w:eastAsia="Times New Roman" w:cs="Calibri"/>
                <w:color w:val="1A1A1A"/>
                <w:sz w:val="22"/>
                <w:szCs w:val="22"/>
                <w:lang w:eastAsia="en-GB"/>
                <w14:ligatures w14:val="none"/>
              </w:rPr>
            </w:pPr>
          </w:p>
        </w:tc>
        <w:tc>
          <w:tcPr>
            <w:tcW w:w="6016" w:type="dxa"/>
            <w:tcBorders>
              <w:left w:val="nil"/>
              <w:bottom w:val="nil"/>
              <w:right w:val="nil"/>
            </w:tcBorders>
            <w:shd w:val="clear" w:color="auto" w:fill="auto"/>
            <w:noWrap/>
            <w:vAlign w:val="bottom"/>
            <w:hideMark/>
          </w:tcPr>
          <w:p w14:paraId="284B2584" w14:textId="77777777" w:rsidR="00B449C8" w:rsidRPr="00B449C8" w:rsidRDefault="00B449C8" w:rsidP="00B449C8">
            <w:pPr>
              <w:suppressAutoHyphens w:val="0"/>
              <w:spacing w:before="0" w:after="0" w:line="240" w:lineRule="auto"/>
              <w:rPr>
                <w:rFonts w:ascii="Times New Roman" w:eastAsia="Times New Roman" w:hAnsi="Times New Roman" w:cs="Times New Roman"/>
                <w:szCs w:val="20"/>
                <w:lang w:eastAsia="en-GB"/>
                <w14:ligatures w14:val="none"/>
              </w:rPr>
            </w:pPr>
          </w:p>
        </w:tc>
      </w:tr>
      <w:tr w:rsidR="00B449C8" w:rsidRPr="00B449C8" w14:paraId="134E2A11" w14:textId="77777777" w:rsidTr="00B449C8">
        <w:trPr>
          <w:trHeight w:val="312"/>
        </w:trPr>
        <w:tc>
          <w:tcPr>
            <w:tcW w:w="5982" w:type="dxa"/>
            <w:tcBorders>
              <w:top w:val="nil"/>
              <w:left w:val="single" w:sz="4" w:space="0" w:color="auto"/>
              <w:bottom w:val="single" w:sz="4" w:space="0" w:color="auto"/>
              <w:right w:val="single" w:sz="4" w:space="0" w:color="auto"/>
            </w:tcBorders>
            <w:shd w:val="clear" w:color="auto" w:fill="auto"/>
            <w:hideMark/>
          </w:tcPr>
          <w:p w14:paraId="1B9B0C50" w14:textId="77777777" w:rsidR="00B449C8" w:rsidRPr="00B449C8" w:rsidRDefault="00B449C8" w:rsidP="00B449C8">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Key Performance Indicators</w:t>
            </w:r>
          </w:p>
        </w:tc>
        <w:tc>
          <w:tcPr>
            <w:tcW w:w="222" w:type="dxa"/>
            <w:tcBorders>
              <w:top w:val="nil"/>
              <w:left w:val="nil"/>
              <w:bottom w:val="nil"/>
              <w:right w:val="nil"/>
            </w:tcBorders>
            <w:shd w:val="clear" w:color="auto" w:fill="auto"/>
            <w:noWrap/>
            <w:vAlign w:val="bottom"/>
            <w:hideMark/>
          </w:tcPr>
          <w:p w14:paraId="263421E5" w14:textId="77777777" w:rsidR="00B449C8" w:rsidRPr="00B449C8" w:rsidRDefault="00B449C8" w:rsidP="00B449C8">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nil"/>
              <w:bottom w:val="nil"/>
              <w:right w:val="nil"/>
            </w:tcBorders>
            <w:shd w:val="clear" w:color="auto" w:fill="auto"/>
            <w:noWrap/>
            <w:vAlign w:val="bottom"/>
            <w:hideMark/>
          </w:tcPr>
          <w:p w14:paraId="390516F3" w14:textId="77777777" w:rsidR="00B449C8" w:rsidRPr="00B449C8" w:rsidRDefault="00B449C8" w:rsidP="00B449C8">
            <w:pPr>
              <w:suppressAutoHyphens w:val="0"/>
              <w:spacing w:before="0" w:after="0" w:line="240" w:lineRule="auto"/>
              <w:rPr>
                <w:rFonts w:ascii="Times New Roman" w:eastAsia="Times New Roman" w:hAnsi="Times New Roman" w:cs="Times New Roman"/>
                <w:szCs w:val="20"/>
                <w:lang w:eastAsia="en-GB"/>
                <w14:ligatures w14:val="none"/>
              </w:rPr>
            </w:pPr>
          </w:p>
        </w:tc>
      </w:tr>
      <w:tr w:rsidR="00B449C8" w:rsidRPr="00B449C8" w14:paraId="32E44DBE" w14:textId="77777777" w:rsidTr="00B449C8">
        <w:trPr>
          <w:trHeight w:val="345"/>
        </w:trPr>
        <w:tc>
          <w:tcPr>
            <w:tcW w:w="5982" w:type="dxa"/>
            <w:tcBorders>
              <w:top w:val="nil"/>
              <w:left w:val="single" w:sz="4" w:space="0" w:color="auto"/>
              <w:bottom w:val="single" w:sz="4" w:space="0" w:color="auto"/>
              <w:right w:val="single" w:sz="4" w:space="0" w:color="auto"/>
            </w:tcBorders>
            <w:shd w:val="clear" w:color="auto" w:fill="auto"/>
            <w:hideMark/>
          </w:tcPr>
          <w:p w14:paraId="38B09416" w14:textId="77777777" w:rsidR="00B449C8" w:rsidRPr="00B449C8" w:rsidRDefault="00B449C8" w:rsidP="00B449C8">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Unresolved issues</w:t>
            </w:r>
          </w:p>
        </w:tc>
        <w:tc>
          <w:tcPr>
            <w:tcW w:w="222" w:type="dxa"/>
            <w:tcBorders>
              <w:top w:val="nil"/>
              <w:left w:val="nil"/>
              <w:bottom w:val="nil"/>
              <w:right w:val="nil"/>
            </w:tcBorders>
            <w:shd w:val="clear" w:color="auto" w:fill="auto"/>
            <w:noWrap/>
            <w:vAlign w:val="bottom"/>
            <w:hideMark/>
          </w:tcPr>
          <w:p w14:paraId="692DD586" w14:textId="77777777" w:rsidR="00B449C8" w:rsidRPr="00B449C8" w:rsidRDefault="00B449C8" w:rsidP="00B449C8">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nil"/>
              <w:bottom w:val="nil"/>
              <w:right w:val="nil"/>
            </w:tcBorders>
            <w:shd w:val="clear" w:color="auto" w:fill="auto"/>
            <w:noWrap/>
            <w:vAlign w:val="bottom"/>
            <w:hideMark/>
          </w:tcPr>
          <w:p w14:paraId="1E65651A" w14:textId="77777777" w:rsidR="00B449C8" w:rsidRPr="00B449C8" w:rsidRDefault="00B449C8" w:rsidP="00B449C8">
            <w:pPr>
              <w:suppressAutoHyphens w:val="0"/>
              <w:spacing w:before="0" w:after="0" w:line="240" w:lineRule="auto"/>
              <w:rPr>
                <w:rFonts w:ascii="Times New Roman" w:eastAsia="Times New Roman" w:hAnsi="Times New Roman" w:cs="Times New Roman"/>
                <w:szCs w:val="20"/>
                <w:lang w:eastAsia="en-GB"/>
                <w14:ligatures w14:val="none"/>
              </w:rPr>
            </w:pPr>
          </w:p>
        </w:tc>
      </w:tr>
    </w:tbl>
    <w:p w14:paraId="0A557213" w14:textId="77777777" w:rsidR="00D50B64" w:rsidRDefault="00D50B64" w:rsidP="00D50B64">
      <w:pPr>
        <w:rPr>
          <w:rFonts w:cs="Calibri"/>
          <w:color w:val="000000"/>
          <w:sz w:val="22"/>
          <w:szCs w:val="22"/>
        </w:rPr>
      </w:pPr>
    </w:p>
    <w:p w14:paraId="0B0609B7" w14:textId="77777777" w:rsidR="00D50B64" w:rsidRDefault="00D50B64" w:rsidP="00D50B64">
      <w:pPr>
        <w:rPr>
          <w:rFonts w:eastAsia="Arial Unicode MS"/>
          <w:b/>
          <w:color w:val="3C3060"/>
          <w:sz w:val="32"/>
          <w:szCs w:val="32"/>
        </w:rPr>
      </w:pPr>
    </w:p>
    <w:p w14:paraId="01AF6E8B" w14:textId="77777777" w:rsidR="00D50B64" w:rsidRDefault="00D50B64" w:rsidP="00D50B64">
      <w:pPr>
        <w:rPr>
          <w:rFonts w:eastAsia="Arial Unicode MS"/>
          <w:b/>
          <w:color w:val="3C3060"/>
          <w:sz w:val="32"/>
          <w:szCs w:val="32"/>
        </w:rPr>
      </w:pPr>
    </w:p>
    <w:p w14:paraId="42307023" w14:textId="77777777" w:rsidR="00D50B64" w:rsidRDefault="00D50B64" w:rsidP="00D50B64">
      <w:pPr>
        <w:rPr>
          <w:rFonts w:eastAsia="Arial Unicode MS"/>
          <w:b/>
          <w:color w:val="3C3060"/>
          <w:sz w:val="32"/>
          <w:szCs w:val="32"/>
        </w:rPr>
      </w:pPr>
    </w:p>
    <w:p w14:paraId="574AD702" w14:textId="77777777" w:rsidR="00114A08" w:rsidRDefault="00114A08">
      <w:pPr>
        <w:suppressAutoHyphens w:val="0"/>
        <w:spacing w:before="0" w:after="0" w:line="240" w:lineRule="auto"/>
        <w:rPr>
          <w:rFonts w:ascii="Franklin Gothic Medium" w:eastAsia="Arial Unicode MS" w:hAnsi="Franklin Gothic Medium" w:cs="Times New Roman (Headings CS)"/>
          <w:color w:val="2C1B57" w:themeColor="accent1" w:themeTint="E6"/>
          <w:sz w:val="32"/>
          <w:szCs w:val="32"/>
        </w:rPr>
      </w:pPr>
      <w:r>
        <w:br w:type="page"/>
      </w:r>
    </w:p>
    <w:p w14:paraId="6D274349" w14:textId="77777777" w:rsidR="00D50B64" w:rsidRPr="00BC4175" w:rsidRDefault="00D50B64" w:rsidP="00143CE0">
      <w:pPr>
        <w:pStyle w:val="Sub-heading"/>
      </w:pPr>
      <w:r w:rsidRPr="00BC4175">
        <w:lastRenderedPageBreak/>
        <w:t>Individual recommendations Key:</w:t>
      </w:r>
    </w:p>
    <w:tbl>
      <w:tblPr>
        <w:tblStyle w:val="TableGrid"/>
        <w:tblW w:w="15304" w:type="dxa"/>
        <w:tblBorders>
          <w:right w:val="none" w:sz="0" w:space="0" w:color="auto"/>
        </w:tblBorders>
        <w:tblCellMar>
          <w:top w:w="57" w:type="dxa"/>
        </w:tblCellMar>
        <w:tblLook w:val="04A0" w:firstRow="1" w:lastRow="0" w:firstColumn="1" w:lastColumn="0" w:noHBand="0" w:noVBand="1"/>
      </w:tblPr>
      <w:tblGrid>
        <w:gridCol w:w="1701"/>
        <w:gridCol w:w="13603"/>
      </w:tblGrid>
      <w:tr w:rsidR="00BC4175" w14:paraId="458BDFF7" w14:textId="77777777" w:rsidTr="00114A08">
        <w:trPr>
          <w:trHeight w:val="421"/>
        </w:trPr>
        <w:tc>
          <w:tcPr>
            <w:tcW w:w="1701" w:type="dxa"/>
            <w:shd w:val="clear" w:color="000000" w:fill="FFC7CE"/>
            <w:vAlign w:val="center"/>
          </w:tcPr>
          <w:p w14:paraId="164D4660" w14:textId="77777777" w:rsidR="00BC4175" w:rsidRDefault="00BC4175" w:rsidP="00114A08">
            <w:pPr>
              <w:suppressAutoHyphens w:val="0"/>
              <w:spacing w:before="0" w:after="0" w:line="240" w:lineRule="auto"/>
              <w:rPr>
                <w:rFonts w:eastAsia="Arial Unicode MS"/>
                <w:b/>
                <w:bCs/>
                <w:color w:val="000000"/>
                <w:sz w:val="22"/>
                <w:szCs w:val="22"/>
                <w:lang w:eastAsia="en-GB"/>
              </w:rPr>
            </w:pPr>
            <w:r>
              <w:rPr>
                <w:rFonts w:cs="Calibri"/>
                <w:color w:val="9C0006"/>
                <w:sz w:val="22"/>
                <w:szCs w:val="22"/>
              </w:rPr>
              <w:t>High Priority</w:t>
            </w:r>
          </w:p>
        </w:tc>
        <w:tc>
          <w:tcPr>
            <w:tcW w:w="13603" w:type="dxa"/>
            <w:tcBorders>
              <w:top w:val="single" w:sz="4" w:space="0" w:color="auto"/>
              <w:bottom w:val="single" w:sz="4" w:space="0" w:color="auto"/>
              <w:right w:val="single" w:sz="4" w:space="0" w:color="auto"/>
            </w:tcBorders>
            <w:vAlign w:val="center"/>
          </w:tcPr>
          <w:p w14:paraId="2D919848" w14:textId="77777777" w:rsidR="00BC4175" w:rsidRDefault="006110EF" w:rsidP="00114A08">
            <w:pPr>
              <w:suppressAutoHyphens w:val="0"/>
              <w:spacing w:before="0" w:after="0" w:line="240" w:lineRule="auto"/>
              <w:rPr>
                <w:rFonts w:eastAsia="Arial Unicode MS"/>
                <w:b/>
                <w:bCs/>
                <w:color w:val="000000"/>
                <w:sz w:val="22"/>
                <w:szCs w:val="22"/>
                <w:lang w:eastAsia="en-GB"/>
              </w:rPr>
            </w:pPr>
            <w:r>
              <w:rPr>
                <w:rFonts w:eastAsia="Arial Unicode MS"/>
                <w:sz w:val="22"/>
                <w:szCs w:val="22"/>
                <w:lang w:eastAsia="en-GB"/>
              </w:rPr>
              <w:t>Trustees</w:t>
            </w:r>
            <w:r w:rsidR="00BC4175" w:rsidRPr="009F7958">
              <w:rPr>
                <w:rFonts w:eastAsia="Arial Unicode MS"/>
                <w:sz w:val="22"/>
                <w:szCs w:val="22"/>
                <w:lang w:eastAsia="en-GB"/>
              </w:rPr>
              <w:t xml:space="preserve"> must </w:t>
            </w:r>
            <w:r w:rsidR="00BC4175" w:rsidRPr="006D2C43">
              <w:rPr>
                <w:rFonts w:eastAsia="Arial Unicode MS"/>
                <w:sz w:val="22"/>
                <w:szCs w:val="22"/>
                <w:lang w:eastAsia="en-GB"/>
              </w:rPr>
              <w:t>review this recommendation as a priority.</w:t>
            </w:r>
          </w:p>
        </w:tc>
      </w:tr>
      <w:tr w:rsidR="00BC4175" w14:paraId="6BC15A53" w14:textId="77777777" w:rsidTr="00114A08">
        <w:trPr>
          <w:trHeight w:val="421"/>
        </w:trPr>
        <w:tc>
          <w:tcPr>
            <w:tcW w:w="1701" w:type="dxa"/>
            <w:shd w:val="clear" w:color="000000" w:fill="FFFF99"/>
            <w:vAlign w:val="center"/>
          </w:tcPr>
          <w:p w14:paraId="221BF075" w14:textId="77777777" w:rsidR="00BC4175" w:rsidRDefault="00BC4175" w:rsidP="00114A08">
            <w:pPr>
              <w:suppressAutoHyphens w:val="0"/>
              <w:spacing w:before="0" w:after="0" w:line="240" w:lineRule="auto"/>
              <w:rPr>
                <w:rFonts w:eastAsia="Arial Unicode MS"/>
                <w:b/>
                <w:bCs/>
                <w:color w:val="000000"/>
                <w:sz w:val="22"/>
                <w:szCs w:val="22"/>
                <w:lang w:eastAsia="en-GB"/>
              </w:rPr>
            </w:pPr>
            <w:r>
              <w:rPr>
                <w:rFonts w:cs="Calibri"/>
                <w:color w:val="C4703C"/>
                <w:sz w:val="22"/>
                <w:szCs w:val="22"/>
              </w:rPr>
              <w:t>Medium Priority</w:t>
            </w:r>
          </w:p>
        </w:tc>
        <w:tc>
          <w:tcPr>
            <w:tcW w:w="13603" w:type="dxa"/>
            <w:tcBorders>
              <w:top w:val="single" w:sz="4" w:space="0" w:color="auto"/>
              <w:bottom w:val="single" w:sz="4" w:space="0" w:color="auto"/>
              <w:right w:val="single" w:sz="4" w:space="0" w:color="auto"/>
            </w:tcBorders>
            <w:vAlign w:val="center"/>
          </w:tcPr>
          <w:p w14:paraId="24E4774C" w14:textId="77777777" w:rsidR="00BC4175" w:rsidRDefault="00BC4175" w:rsidP="00114A08">
            <w:pPr>
              <w:suppressAutoHyphens w:val="0"/>
              <w:spacing w:before="0" w:after="0" w:line="240" w:lineRule="auto"/>
              <w:rPr>
                <w:rFonts w:eastAsia="Arial Unicode MS"/>
                <w:b/>
                <w:bCs/>
                <w:color w:val="000000"/>
                <w:sz w:val="22"/>
                <w:szCs w:val="22"/>
                <w:lang w:eastAsia="en-GB"/>
              </w:rPr>
            </w:pPr>
            <w:r w:rsidRPr="00C060DD">
              <w:rPr>
                <w:rFonts w:eastAsia="Arial Unicode MS"/>
                <w:sz w:val="22"/>
                <w:szCs w:val="22"/>
                <w:lang w:eastAsia="en-GB"/>
              </w:rPr>
              <w:t>Internal controls should be strengthened to minimise risk</w:t>
            </w:r>
            <w:r w:rsidRPr="00C060DD">
              <w:rPr>
                <w:rFonts w:eastAsia="Arial Unicode MS"/>
                <w:b/>
                <w:bCs/>
                <w:sz w:val="22"/>
                <w:szCs w:val="22"/>
                <w:lang w:eastAsia="en-GB"/>
              </w:rPr>
              <w:t>.</w:t>
            </w:r>
          </w:p>
        </w:tc>
      </w:tr>
      <w:tr w:rsidR="00BC4175" w14:paraId="14017C69" w14:textId="77777777" w:rsidTr="00114A08">
        <w:trPr>
          <w:trHeight w:val="421"/>
        </w:trPr>
        <w:tc>
          <w:tcPr>
            <w:tcW w:w="1701" w:type="dxa"/>
            <w:shd w:val="clear" w:color="000000" w:fill="CDEDD3"/>
            <w:vAlign w:val="center"/>
          </w:tcPr>
          <w:p w14:paraId="73B3196F" w14:textId="77777777" w:rsidR="00BC4175" w:rsidRDefault="00BC4175" w:rsidP="00114A08">
            <w:pPr>
              <w:suppressAutoHyphens w:val="0"/>
              <w:spacing w:before="0" w:after="0" w:line="240" w:lineRule="auto"/>
              <w:rPr>
                <w:rFonts w:eastAsia="Arial Unicode MS"/>
                <w:b/>
                <w:bCs/>
                <w:color w:val="000000"/>
                <w:sz w:val="22"/>
                <w:szCs w:val="22"/>
                <w:lang w:eastAsia="en-GB"/>
              </w:rPr>
            </w:pPr>
            <w:r>
              <w:rPr>
                <w:rFonts w:cs="Calibri"/>
                <w:color w:val="215F2E"/>
                <w:sz w:val="22"/>
                <w:szCs w:val="22"/>
              </w:rPr>
              <w:t>Low Priority</w:t>
            </w:r>
          </w:p>
        </w:tc>
        <w:tc>
          <w:tcPr>
            <w:tcW w:w="13603" w:type="dxa"/>
            <w:tcBorders>
              <w:top w:val="single" w:sz="4" w:space="0" w:color="auto"/>
              <w:bottom w:val="single" w:sz="4" w:space="0" w:color="auto"/>
              <w:right w:val="single" w:sz="4" w:space="0" w:color="auto"/>
            </w:tcBorders>
            <w:shd w:val="clear" w:color="auto" w:fill="auto"/>
            <w:vAlign w:val="center"/>
          </w:tcPr>
          <w:p w14:paraId="38E3BE1F" w14:textId="77777777" w:rsidR="00BC4175" w:rsidRPr="00D03E1E" w:rsidRDefault="00BC4175" w:rsidP="00114A08">
            <w:pPr>
              <w:suppressAutoHyphens w:val="0"/>
              <w:spacing w:before="0" w:after="0" w:line="240" w:lineRule="auto"/>
              <w:rPr>
                <w:rFonts w:eastAsia="Arial Unicode MS"/>
                <w:sz w:val="22"/>
                <w:szCs w:val="22"/>
                <w:lang w:eastAsia="en-GB"/>
              </w:rPr>
            </w:pPr>
            <w:r w:rsidRPr="006D2C43">
              <w:rPr>
                <w:rFonts w:eastAsia="Arial Unicode MS"/>
                <w:sz w:val="22"/>
                <w:szCs w:val="22"/>
                <w:lang w:eastAsia="en-GB"/>
              </w:rPr>
              <w:t>Internal control could be strengthened in line with best practice, but little risk of material loss.</w:t>
            </w:r>
          </w:p>
        </w:tc>
      </w:tr>
      <w:tr w:rsidR="00114A08" w:rsidRPr="00F47234" w14:paraId="580ACD96" w14:textId="77777777" w:rsidTr="00114A08">
        <w:tblPrEx>
          <w:tblBorders>
            <w:right w:val="single" w:sz="4" w:space="0" w:color="auto"/>
          </w:tblBorders>
          <w:tblCellMar>
            <w:top w:w="0" w:type="dxa"/>
          </w:tblCellMar>
        </w:tblPrEx>
        <w:trPr>
          <w:trHeight w:val="657"/>
        </w:trPr>
        <w:tc>
          <w:tcPr>
            <w:tcW w:w="1701" w:type="dxa"/>
            <w:vAlign w:val="center"/>
          </w:tcPr>
          <w:p w14:paraId="180E971F" w14:textId="77777777" w:rsidR="00114A08" w:rsidRPr="00114A08" w:rsidRDefault="00114A08" w:rsidP="00114A08">
            <w:pPr>
              <w:suppressAutoHyphens w:val="0"/>
              <w:spacing w:before="0" w:after="0" w:line="240" w:lineRule="auto"/>
              <w:rPr>
                <w:rFonts w:cs="Calibri"/>
                <w:color w:val="215F2E"/>
                <w:sz w:val="22"/>
                <w:szCs w:val="22"/>
              </w:rPr>
            </w:pPr>
            <w:r w:rsidRPr="00114A08">
              <w:rPr>
                <w:rFonts w:cs="Calibri"/>
                <w:sz w:val="22"/>
                <w:szCs w:val="22"/>
              </w:rPr>
              <w:t>Note/area of consideration</w:t>
            </w:r>
          </w:p>
        </w:tc>
        <w:tc>
          <w:tcPr>
            <w:tcW w:w="13603" w:type="dxa"/>
            <w:vAlign w:val="center"/>
          </w:tcPr>
          <w:p w14:paraId="02C844FA" w14:textId="77777777" w:rsidR="00114A08" w:rsidRPr="00114A08" w:rsidRDefault="00114A08" w:rsidP="00114A08">
            <w:pPr>
              <w:suppressAutoHyphens w:val="0"/>
              <w:spacing w:before="0" w:after="0" w:line="240" w:lineRule="auto"/>
              <w:rPr>
                <w:rFonts w:cs="Calibri"/>
                <w:color w:val="215F2E"/>
                <w:sz w:val="22"/>
                <w:szCs w:val="22"/>
              </w:rPr>
            </w:pPr>
            <w:r w:rsidRPr="00114A08">
              <w:rPr>
                <w:rFonts w:cs="Calibri"/>
                <w:sz w:val="22"/>
                <w:szCs w:val="22"/>
              </w:rPr>
              <w:t>Comment for information only</w:t>
            </w:r>
          </w:p>
        </w:tc>
      </w:tr>
    </w:tbl>
    <w:p w14:paraId="317DD820" w14:textId="77777777" w:rsidR="00114A08" w:rsidRDefault="00114A08" w:rsidP="00114A08"/>
    <w:p w14:paraId="17FA39DA" w14:textId="77777777" w:rsidR="00383937" w:rsidRDefault="00383937" w:rsidP="00114A08"/>
    <w:p w14:paraId="758A268D" w14:textId="77777777" w:rsidR="003B04C6" w:rsidRDefault="003B04C6" w:rsidP="00114A08"/>
    <w:p w14:paraId="4FF5DE91" w14:textId="77777777" w:rsidR="00C623DF" w:rsidRDefault="00C623DF">
      <w:pPr>
        <w:suppressAutoHyphens w:val="0"/>
        <w:spacing w:before="0" w:after="0" w:line="240" w:lineRule="auto"/>
        <w:rPr>
          <w:rFonts w:ascii="Franklin Gothic Medium" w:eastAsia="Arial Unicode MS" w:hAnsi="Franklin Gothic Medium" w:cs="Times New Roman (Headings CS)"/>
          <w:color w:val="2C1B57" w:themeColor="accent1" w:themeTint="E6"/>
          <w:sz w:val="28"/>
          <w:szCs w:val="30"/>
        </w:rPr>
      </w:pPr>
      <w:r>
        <w:br w:type="page"/>
      </w:r>
    </w:p>
    <w:p w14:paraId="26683785" w14:textId="77777777" w:rsidR="00D50B64" w:rsidRDefault="00D50B64" w:rsidP="00143CE0">
      <w:pPr>
        <w:pStyle w:val="Sub-heading"/>
      </w:pPr>
      <w:r w:rsidRPr="00BC4175">
        <w:lastRenderedPageBreak/>
        <w:t>Summary of Findings</w:t>
      </w:r>
    </w:p>
    <w:p w14:paraId="545589B4" w14:textId="77777777" w:rsidR="007B6AA8" w:rsidRDefault="007B6AA8" w:rsidP="00143CE0"/>
    <w:tbl>
      <w:tblPr>
        <w:tblStyle w:val="TableGrid"/>
        <w:tblW w:w="15306" w:type="dxa"/>
        <w:tblLook w:val="04A0" w:firstRow="1" w:lastRow="0" w:firstColumn="1" w:lastColumn="0" w:noHBand="0" w:noVBand="1"/>
      </w:tblPr>
      <w:tblGrid>
        <w:gridCol w:w="1701"/>
        <w:gridCol w:w="6802"/>
        <w:gridCol w:w="1701"/>
        <w:gridCol w:w="5102"/>
      </w:tblGrid>
      <w:tr w:rsidR="00BC4175" w:rsidRPr="00BC4175" w14:paraId="0FA9198D" w14:textId="77777777" w:rsidTr="008010C9">
        <w:trPr>
          <w:cantSplit/>
          <w:trHeight w:val="366"/>
          <w:tblHeader/>
        </w:trPr>
        <w:tc>
          <w:tcPr>
            <w:tcW w:w="1701" w:type="dxa"/>
            <w:shd w:val="clear" w:color="auto" w:fill="D9D9D9" w:themeFill="background2" w:themeFillShade="D9"/>
            <w:vAlign w:val="center"/>
          </w:tcPr>
          <w:p w14:paraId="70909D06" w14:textId="77777777" w:rsidR="00BC4175" w:rsidRPr="00BC4175" w:rsidRDefault="00BC4175" w:rsidP="00BC4175">
            <w:pPr>
              <w:spacing w:before="0" w:after="0" w:line="240" w:lineRule="auto"/>
              <w:jc w:val="center"/>
              <w:rPr>
                <w:rFonts w:eastAsia="Arial Unicode MS" w:cs="Arial"/>
                <w:szCs w:val="20"/>
              </w:rPr>
            </w:pPr>
            <w:r w:rsidRPr="00BC4175">
              <w:rPr>
                <w:rFonts w:eastAsia="Arial Unicode MS" w:cs="Arial"/>
                <w:szCs w:val="20"/>
              </w:rPr>
              <w:t>RAG</w:t>
            </w:r>
          </w:p>
        </w:tc>
        <w:tc>
          <w:tcPr>
            <w:tcW w:w="6802" w:type="dxa"/>
            <w:shd w:val="clear" w:color="auto" w:fill="D9D9D9" w:themeFill="background2" w:themeFillShade="D9"/>
            <w:vAlign w:val="center"/>
          </w:tcPr>
          <w:p w14:paraId="76E4D8D3" w14:textId="77777777" w:rsidR="00BC4175" w:rsidRPr="00BC4175" w:rsidRDefault="00BC4175" w:rsidP="00BC4175">
            <w:pPr>
              <w:spacing w:before="0" w:after="0" w:line="240" w:lineRule="auto"/>
              <w:jc w:val="center"/>
              <w:rPr>
                <w:rFonts w:eastAsia="Arial Unicode MS" w:cs="Arial"/>
                <w:szCs w:val="20"/>
              </w:rPr>
            </w:pPr>
            <w:r w:rsidRPr="00BC4175">
              <w:rPr>
                <w:rFonts w:eastAsia="Arial Unicode MS" w:cs="Arial"/>
                <w:szCs w:val="20"/>
              </w:rPr>
              <w:t>Finding</w:t>
            </w:r>
          </w:p>
        </w:tc>
        <w:tc>
          <w:tcPr>
            <w:tcW w:w="6803" w:type="dxa"/>
            <w:gridSpan w:val="2"/>
            <w:shd w:val="clear" w:color="auto" w:fill="D9D9D9" w:themeFill="background2" w:themeFillShade="D9"/>
            <w:vAlign w:val="center"/>
          </w:tcPr>
          <w:p w14:paraId="445F1B5A" w14:textId="77777777" w:rsidR="00BC4175" w:rsidRPr="00BC4175" w:rsidRDefault="00BC4175" w:rsidP="00BC4175">
            <w:pPr>
              <w:spacing w:before="0" w:after="0" w:line="240" w:lineRule="auto"/>
              <w:jc w:val="center"/>
              <w:rPr>
                <w:rFonts w:eastAsia="Arial Unicode MS" w:cs="Arial"/>
                <w:szCs w:val="20"/>
              </w:rPr>
            </w:pPr>
            <w:r w:rsidRPr="00BC4175">
              <w:rPr>
                <w:rFonts w:eastAsia="Arial Unicode MS" w:cs="Arial"/>
                <w:szCs w:val="20"/>
              </w:rPr>
              <w:t>Recommendation</w:t>
            </w:r>
          </w:p>
        </w:tc>
      </w:tr>
      <w:tr w:rsidR="00BC4175" w:rsidRPr="00BC4175" w14:paraId="448DFBEF" w14:textId="77777777" w:rsidTr="008010C9">
        <w:trPr>
          <w:cantSplit/>
          <w:trHeight w:val="454"/>
        </w:trPr>
        <w:tc>
          <w:tcPr>
            <w:tcW w:w="15306" w:type="dxa"/>
            <w:gridSpan w:val="4"/>
            <w:shd w:val="clear" w:color="auto" w:fill="2C1B57" w:themeFill="accent1" w:themeFillTint="E6"/>
          </w:tcPr>
          <w:p w14:paraId="6545DF22" w14:textId="6AC6D804" w:rsidR="00BC4175" w:rsidRPr="00BC4175" w:rsidRDefault="00706C96" w:rsidP="00BC4175">
            <w:pPr>
              <w:keepNext/>
              <w:keepLines/>
              <w:spacing w:before="0" w:after="0" w:line="400" w:lineRule="exact"/>
              <w:outlineLvl w:val="0"/>
              <w:rPr>
                <w:rFonts w:ascii="Franklin Gothic Medium" w:eastAsia="Arial Unicode MS" w:hAnsi="Franklin Gothic Medium" w:cs="Times New Roman (Headings CS)"/>
                <w:color w:val="FFFFFF" w:themeColor="background1"/>
                <w:sz w:val="28"/>
                <w:szCs w:val="30"/>
              </w:rPr>
            </w:pPr>
            <w:bookmarkStart w:id="0" w:name="_Hlk115696504"/>
            <w:r>
              <w:rPr>
                <w:rFonts w:ascii="Franklin Gothic Medium" w:eastAsia="Arial Unicode MS" w:hAnsi="Franklin Gothic Medium" w:cs="Times New Roman (Headings CS)"/>
                <w:color w:val="FFFFFF" w:themeColor="background1"/>
                <w:sz w:val="28"/>
                <w:szCs w:val="30"/>
              </w:rPr>
              <w:t>Financial Governance</w:t>
            </w:r>
          </w:p>
        </w:tc>
      </w:tr>
      <w:bookmarkEnd w:id="0"/>
      <w:tr w:rsidR="00D93EFB" w:rsidRPr="00BC4175" w14:paraId="610BE9E9" w14:textId="77777777" w:rsidTr="00EF2FEB">
        <w:trPr>
          <w:cantSplit/>
        </w:trPr>
        <w:tc>
          <w:tcPr>
            <w:tcW w:w="1701" w:type="dxa"/>
            <w:shd w:val="clear" w:color="000000" w:fill="CDEDD3"/>
            <w:vAlign w:val="center"/>
          </w:tcPr>
          <w:p w14:paraId="1606DED6" w14:textId="000ED763" w:rsidR="00D93EFB" w:rsidRPr="009E688A" w:rsidRDefault="00D93EFB" w:rsidP="00D93EFB">
            <w:pPr>
              <w:rPr>
                <w:rFonts w:eastAsia="Arial Unicode MS"/>
                <w:bCs/>
                <w:color w:val="3C3060"/>
                <w:sz w:val="18"/>
                <w:szCs w:val="22"/>
              </w:rPr>
            </w:pPr>
            <w:r>
              <w:rPr>
                <w:rFonts w:cs="Calibri"/>
                <w:color w:val="215F2E"/>
                <w:sz w:val="22"/>
                <w:szCs w:val="22"/>
              </w:rPr>
              <w:t>Low Priority</w:t>
            </w:r>
          </w:p>
        </w:tc>
        <w:tc>
          <w:tcPr>
            <w:tcW w:w="6802" w:type="dxa"/>
            <w:tcBorders>
              <w:top w:val="single" w:sz="4" w:space="0" w:color="auto"/>
              <w:left w:val="single" w:sz="4" w:space="0" w:color="auto"/>
              <w:bottom w:val="single" w:sz="4" w:space="0" w:color="auto"/>
              <w:right w:val="single" w:sz="4" w:space="0" w:color="auto"/>
            </w:tcBorders>
            <w:shd w:val="clear" w:color="auto" w:fill="auto"/>
          </w:tcPr>
          <w:p w14:paraId="209F7782" w14:textId="7260B719" w:rsidR="00D93EFB" w:rsidRPr="00071133" w:rsidRDefault="00D93EFB" w:rsidP="00D93EFB">
            <w:pPr>
              <w:rPr>
                <w:sz w:val="22"/>
                <w:szCs w:val="26"/>
              </w:rPr>
            </w:pPr>
            <w:r>
              <w:rPr>
                <w:rFonts w:cs="Calibri"/>
                <w:color w:val="1A1A1A"/>
                <w:sz w:val="22"/>
                <w:szCs w:val="22"/>
              </w:rPr>
              <w:t xml:space="preserve">The </w:t>
            </w:r>
            <w:r w:rsidRPr="00071133">
              <w:rPr>
                <w:rFonts w:cs="Calibri"/>
                <w:color w:val="1A1A1A"/>
                <w:sz w:val="22"/>
                <w:szCs w:val="22"/>
              </w:rPr>
              <w:t>Financ</w:t>
            </w:r>
            <w:r>
              <w:rPr>
                <w:rFonts w:cs="Calibri"/>
                <w:color w:val="1A1A1A"/>
                <w:sz w:val="22"/>
                <w:szCs w:val="22"/>
              </w:rPr>
              <w:t>ial</w:t>
            </w:r>
            <w:r w:rsidRPr="00071133">
              <w:rPr>
                <w:rFonts w:cs="Calibri"/>
                <w:color w:val="1A1A1A"/>
                <w:sz w:val="22"/>
                <w:szCs w:val="22"/>
              </w:rPr>
              <w:t xml:space="preserve"> Regulations had not been reviewed or approved by the board of trustees within the last 12 months</w:t>
            </w:r>
            <w:r>
              <w:rPr>
                <w:rFonts w:cs="Calibri"/>
                <w:color w:val="1A1A1A"/>
                <w:sz w:val="22"/>
                <w:szCs w:val="22"/>
              </w:rPr>
              <w:t>.</w:t>
            </w:r>
          </w:p>
        </w:tc>
        <w:tc>
          <w:tcPr>
            <w:tcW w:w="6803" w:type="dxa"/>
            <w:gridSpan w:val="2"/>
            <w:tcBorders>
              <w:top w:val="single" w:sz="4" w:space="0" w:color="auto"/>
              <w:left w:val="nil"/>
              <w:bottom w:val="single" w:sz="4" w:space="0" w:color="auto"/>
              <w:right w:val="single" w:sz="4" w:space="0" w:color="auto"/>
            </w:tcBorders>
            <w:shd w:val="clear" w:color="auto" w:fill="auto"/>
          </w:tcPr>
          <w:p w14:paraId="20B87FCF" w14:textId="78166CE5" w:rsidR="00D93EFB" w:rsidRPr="00071133" w:rsidRDefault="00D93EFB" w:rsidP="00D93EFB">
            <w:pPr>
              <w:rPr>
                <w:sz w:val="22"/>
                <w:szCs w:val="26"/>
              </w:rPr>
            </w:pPr>
            <w:r w:rsidRPr="00071133">
              <w:rPr>
                <w:rFonts w:cs="Calibri"/>
                <w:color w:val="1A1A1A"/>
                <w:sz w:val="22"/>
                <w:szCs w:val="22"/>
              </w:rPr>
              <w:t xml:space="preserve">Section 2.4 of the Academy trust handbook states: </w:t>
            </w:r>
            <w:r w:rsidRPr="00071133">
              <w:rPr>
                <w:rFonts w:cs="Calibri"/>
                <w:color w:val="1A1A1A"/>
                <w:sz w:val="22"/>
                <w:szCs w:val="22"/>
              </w:rPr>
              <w:br/>
              <w:t>"The scheme of delegation [of financial powers] should be reviewed annually, and immediately when there has been a change in trust management or organisational structure."</w:t>
            </w:r>
          </w:p>
        </w:tc>
      </w:tr>
      <w:tr w:rsidR="00D93EFB" w:rsidRPr="00BC4175" w14:paraId="63250863" w14:textId="77777777" w:rsidTr="008010C9">
        <w:trPr>
          <w:cantSplit/>
          <w:trHeight w:val="426"/>
        </w:trPr>
        <w:tc>
          <w:tcPr>
            <w:tcW w:w="1701" w:type="dxa"/>
            <w:shd w:val="clear" w:color="auto" w:fill="auto"/>
          </w:tcPr>
          <w:p w14:paraId="211974F3" w14:textId="77777777" w:rsidR="00D93EFB" w:rsidRPr="00BC4175" w:rsidRDefault="00D93EFB" w:rsidP="00D93EFB">
            <w:pPr>
              <w:keepNext/>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Management Response:</w:t>
            </w:r>
          </w:p>
        </w:tc>
        <w:tc>
          <w:tcPr>
            <w:tcW w:w="6802" w:type="dxa"/>
            <w:shd w:val="clear" w:color="auto" w:fill="auto"/>
            <w:vAlign w:val="center"/>
          </w:tcPr>
          <w:p w14:paraId="68A857EE" w14:textId="77777777" w:rsidR="00D93EFB" w:rsidRPr="00BC4175" w:rsidRDefault="00D93EFB" w:rsidP="00D93EFB">
            <w:pPr>
              <w:keepNext/>
              <w:keepLines/>
              <w:spacing w:before="80" w:after="80" w:line="300" w:lineRule="exact"/>
              <w:outlineLvl w:val="0"/>
              <w:rPr>
                <w:rFonts w:eastAsia="Arial Unicode MS" w:cs="Times New Roman (Headings CS)"/>
                <w:i/>
                <w:iCs/>
                <w:sz w:val="22"/>
                <w:szCs w:val="22"/>
              </w:rPr>
            </w:pPr>
          </w:p>
        </w:tc>
        <w:tc>
          <w:tcPr>
            <w:tcW w:w="1701" w:type="dxa"/>
            <w:shd w:val="clear" w:color="auto" w:fill="auto"/>
          </w:tcPr>
          <w:p w14:paraId="1D423482" w14:textId="77777777" w:rsidR="00D93EFB" w:rsidRPr="00BC4175" w:rsidRDefault="00D93EFB" w:rsidP="00D93EFB">
            <w:pPr>
              <w:keepNext/>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Responsibility / Due Date:</w:t>
            </w:r>
          </w:p>
        </w:tc>
        <w:tc>
          <w:tcPr>
            <w:tcW w:w="5102" w:type="dxa"/>
            <w:shd w:val="clear" w:color="auto" w:fill="auto"/>
          </w:tcPr>
          <w:p w14:paraId="0FE51A0C" w14:textId="77777777" w:rsidR="00D93EFB" w:rsidRPr="00BC4175" w:rsidRDefault="00D93EFB" w:rsidP="00D93EFB">
            <w:pPr>
              <w:keepNext/>
              <w:keepLines/>
              <w:spacing w:before="80" w:after="80" w:line="300" w:lineRule="exact"/>
              <w:outlineLvl w:val="0"/>
              <w:rPr>
                <w:rFonts w:eastAsia="Arial Unicode MS" w:cs="Times New Roman (Headings CS)"/>
                <w:i/>
                <w:iCs/>
                <w:sz w:val="22"/>
                <w:szCs w:val="22"/>
              </w:rPr>
            </w:pPr>
          </w:p>
        </w:tc>
      </w:tr>
      <w:tr w:rsidR="0027036D" w:rsidRPr="00071133" w14:paraId="0755CF40" w14:textId="77777777" w:rsidTr="003F6E9C">
        <w:trPr>
          <w:cantSplit/>
        </w:trPr>
        <w:tc>
          <w:tcPr>
            <w:tcW w:w="1701" w:type="dxa"/>
            <w:shd w:val="clear" w:color="000000" w:fill="FFFF99"/>
            <w:vAlign w:val="center"/>
          </w:tcPr>
          <w:p w14:paraId="67CA553A" w14:textId="31A0E687" w:rsidR="0027036D" w:rsidRPr="009E688A" w:rsidRDefault="0027036D" w:rsidP="0027036D">
            <w:pPr>
              <w:rPr>
                <w:rFonts w:eastAsia="Arial Unicode MS"/>
                <w:bCs/>
                <w:color w:val="3C3060"/>
                <w:sz w:val="18"/>
                <w:szCs w:val="22"/>
              </w:rPr>
            </w:pPr>
            <w:r>
              <w:rPr>
                <w:rFonts w:cs="Calibri"/>
                <w:color w:val="C4703C"/>
                <w:sz w:val="22"/>
                <w:szCs w:val="22"/>
              </w:rPr>
              <w:t>Medium Priority</w:t>
            </w:r>
          </w:p>
        </w:tc>
        <w:tc>
          <w:tcPr>
            <w:tcW w:w="6802" w:type="dxa"/>
            <w:tcBorders>
              <w:top w:val="single" w:sz="4" w:space="0" w:color="auto"/>
              <w:left w:val="single" w:sz="4" w:space="0" w:color="auto"/>
              <w:bottom w:val="single" w:sz="4" w:space="0" w:color="auto"/>
              <w:right w:val="single" w:sz="4" w:space="0" w:color="auto"/>
            </w:tcBorders>
            <w:shd w:val="clear" w:color="auto" w:fill="auto"/>
          </w:tcPr>
          <w:p w14:paraId="58347E1E" w14:textId="7024D943" w:rsidR="0027036D" w:rsidRPr="003A298A" w:rsidRDefault="0027036D" w:rsidP="0027036D">
            <w:pPr>
              <w:rPr>
                <w:sz w:val="22"/>
                <w:szCs w:val="26"/>
              </w:rPr>
            </w:pPr>
            <w:r w:rsidRPr="003A298A">
              <w:rPr>
                <w:rFonts w:cs="Calibri"/>
                <w:sz w:val="22"/>
                <w:szCs w:val="22"/>
              </w:rPr>
              <w:t>The academy does not currently present a balance sheet</w:t>
            </w:r>
            <w:r w:rsidR="005A6D20">
              <w:rPr>
                <w:rFonts w:cs="Calibri"/>
                <w:sz w:val="22"/>
                <w:szCs w:val="22"/>
              </w:rPr>
              <w:t xml:space="preserve"> as part of the management accounts</w:t>
            </w:r>
            <w:r w:rsidRPr="003A298A">
              <w:rPr>
                <w:rFonts w:cs="Calibri"/>
                <w:sz w:val="22"/>
                <w:szCs w:val="22"/>
              </w:rPr>
              <w:t xml:space="preserve">. </w:t>
            </w:r>
          </w:p>
        </w:tc>
        <w:tc>
          <w:tcPr>
            <w:tcW w:w="6803" w:type="dxa"/>
            <w:gridSpan w:val="2"/>
            <w:tcBorders>
              <w:top w:val="single" w:sz="4" w:space="0" w:color="auto"/>
              <w:left w:val="nil"/>
              <w:bottom w:val="single" w:sz="4" w:space="0" w:color="auto"/>
              <w:right w:val="single" w:sz="4" w:space="0" w:color="auto"/>
            </w:tcBorders>
            <w:shd w:val="clear" w:color="auto" w:fill="auto"/>
          </w:tcPr>
          <w:p w14:paraId="1244235D" w14:textId="58C3F927" w:rsidR="0027036D" w:rsidRPr="00AD7C7C" w:rsidRDefault="0027036D" w:rsidP="0027036D">
            <w:pPr>
              <w:rPr>
                <w:rFonts w:cs="Calibri"/>
                <w:sz w:val="22"/>
                <w:szCs w:val="22"/>
              </w:rPr>
            </w:pPr>
            <w:r w:rsidRPr="00AD7C7C">
              <w:rPr>
                <w:rFonts w:cs="Calibri"/>
                <w:sz w:val="22"/>
                <w:szCs w:val="22"/>
              </w:rPr>
              <w:t>Section 2.21 of the Academy trust handbook states</w:t>
            </w:r>
            <w:r w:rsidR="006779E1" w:rsidRPr="00AD7C7C">
              <w:rPr>
                <w:rFonts w:cs="Calibri"/>
                <w:sz w:val="22"/>
                <w:szCs w:val="22"/>
              </w:rPr>
              <w:t>:</w:t>
            </w:r>
            <w:r w:rsidRPr="00AD7C7C">
              <w:rPr>
                <w:rFonts w:cs="Calibri"/>
                <w:sz w:val="22"/>
                <w:szCs w:val="22"/>
              </w:rPr>
              <w:t xml:space="preserve">  </w:t>
            </w:r>
          </w:p>
          <w:p w14:paraId="70D71BE3" w14:textId="526C2786" w:rsidR="006779E1" w:rsidRPr="00AD7C7C" w:rsidRDefault="006779E1" w:rsidP="0027036D">
            <w:pPr>
              <w:rPr>
                <w:rFonts w:cs="Calibri"/>
                <w:color w:val="FF0000"/>
                <w:sz w:val="22"/>
                <w:szCs w:val="22"/>
              </w:rPr>
            </w:pPr>
            <w:r w:rsidRPr="00AD7C7C">
              <w:rPr>
                <w:rFonts w:cs="Calibri"/>
                <w:sz w:val="22"/>
                <w:szCs w:val="22"/>
              </w:rPr>
              <w:t xml:space="preserve">“The format of monthly management accounts must include an income and expenditure account, variation to budget report, cash flows and </w:t>
            </w:r>
            <w:r w:rsidRPr="00AD7C7C">
              <w:rPr>
                <w:rFonts w:cs="Calibri"/>
                <w:sz w:val="22"/>
                <w:szCs w:val="22"/>
                <w:u w:val="single"/>
              </w:rPr>
              <w:t>balance sheet</w:t>
            </w:r>
            <w:r w:rsidRPr="00AD7C7C">
              <w:rPr>
                <w:rFonts w:cs="Calibri"/>
                <w:sz w:val="22"/>
                <w:szCs w:val="22"/>
              </w:rPr>
              <w:t>.”</w:t>
            </w:r>
          </w:p>
        </w:tc>
      </w:tr>
      <w:tr w:rsidR="0027036D" w:rsidRPr="00BC4175" w14:paraId="4C5D8B21" w14:textId="77777777" w:rsidTr="000E417C">
        <w:trPr>
          <w:cantSplit/>
          <w:trHeight w:val="426"/>
        </w:trPr>
        <w:tc>
          <w:tcPr>
            <w:tcW w:w="1701" w:type="dxa"/>
            <w:shd w:val="clear" w:color="auto" w:fill="auto"/>
          </w:tcPr>
          <w:p w14:paraId="01FC806D" w14:textId="77777777" w:rsidR="0027036D" w:rsidRPr="00BC4175" w:rsidRDefault="0027036D" w:rsidP="0027036D">
            <w:pPr>
              <w:keepNext/>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Management Response:</w:t>
            </w:r>
          </w:p>
        </w:tc>
        <w:tc>
          <w:tcPr>
            <w:tcW w:w="6802" w:type="dxa"/>
            <w:shd w:val="clear" w:color="auto" w:fill="auto"/>
            <w:vAlign w:val="center"/>
          </w:tcPr>
          <w:p w14:paraId="4ED79596" w14:textId="77777777" w:rsidR="0027036D" w:rsidRPr="00BC4175" w:rsidRDefault="0027036D" w:rsidP="0027036D">
            <w:pPr>
              <w:keepNext/>
              <w:keepLines/>
              <w:spacing w:before="80" w:after="80" w:line="300" w:lineRule="exact"/>
              <w:outlineLvl w:val="0"/>
              <w:rPr>
                <w:rFonts w:eastAsia="Arial Unicode MS" w:cs="Times New Roman (Headings CS)"/>
                <w:i/>
                <w:iCs/>
                <w:sz w:val="22"/>
                <w:szCs w:val="22"/>
              </w:rPr>
            </w:pPr>
          </w:p>
        </w:tc>
        <w:tc>
          <w:tcPr>
            <w:tcW w:w="1701" w:type="dxa"/>
            <w:shd w:val="clear" w:color="auto" w:fill="auto"/>
          </w:tcPr>
          <w:p w14:paraId="3F9279FB" w14:textId="77777777" w:rsidR="0027036D" w:rsidRPr="00BC4175" w:rsidRDefault="0027036D" w:rsidP="0027036D">
            <w:pPr>
              <w:keepNext/>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Responsibility / Due Date:</w:t>
            </w:r>
          </w:p>
        </w:tc>
        <w:tc>
          <w:tcPr>
            <w:tcW w:w="5102" w:type="dxa"/>
            <w:shd w:val="clear" w:color="auto" w:fill="auto"/>
          </w:tcPr>
          <w:p w14:paraId="715E5E88" w14:textId="77777777" w:rsidR="0027036D" w:rsidRPr="00BC4175" w:rsidRDefault="0027036D" w:rsidP="0027036D">
            <w:pPr>
              <w:keepNext/>
              <w:keepLines/>
              <w:spacing w:before="80" w:after="80" w:line="300" w:lineRule="exact"/>
              <w:outlineLvl w:val="0"/>
              <w:rPr>
                <w:rFonts w:eastAsia="Arial Unicode MS" w:cs="Times New Roman (Headings CS)"/>
                <w:i/>
                <w:iCs/>
                <w:sz w:val="22"/>
                <w:szCs w:val="22"/>
              </w:rPr>
            </w:pPr>
          </w:p>
        </w:tc>
      </w:tr>
    </w:tbl>
    <w:p w14:paraId="60CAC043" w14:textId="77777777" w:rsidR="001F6614" w:rsidRDefault="001F6614">
      <w:r>
        <w:br w:type="page"/>
      </w:r>
    </w:p>
    <w:tbl>
      <w:tblPr>
        <w:tblStyle w:val="TableGrid"/>
        <w:tblW w:w="15306" w:type="dxa"/>
        <w:tblLook w:val="04A0" w:firstRow="1" w:lastRow="0" w:firstColumn="1" w:lastColumn="0" w:noHBand="0" w:noVBand="1"/>
      </w:tblPr>
      <w:tblGrid>
        <w:gridCol w:w="1701"/>
        <w:gridCol w:w="6802"/>
        <w:gridCol w:w="1701"/>
        <w:gridCol w:w="5102"/>
      </w:tblGrid>
      <w:tr w:rsidR="001F6614" w:rsidRPr="00BC4175" w14:paraId="10C9A177" w14:textId="77777777" w:rsidTr="000E417C">
        <w:trPr>
          <w:cantSplit/>
          <w:trHeight w:val="366"/>
          <w:tblHeader/>
        </w:trPr>
        <w:tc>
          <w:tcPr>
            <w:tcW w:w="1701" w:type="dxa"/>
            <w:shd w:val="clear" w:color="auto" w:fill="D9D9D9" w:themeFill="background2" w:themeFillShade="D9"/>
            <w:vAlign w:val="center"/>
          </w:tcPr>
          <w:p w14:paraId="231F3814" w14:textId="77777777" w:rsidR="001F6614" w:rsidRPr="00BC4175" w:rsidRDefault="001F6614" w:rsidP="000E417C">
            <w:pPr>
              <w:spacing w:before="0" w:after="0" w:line="240" w:lineRule="auto"/>
              <w:jc w:val="center"/>
              <w:rPr>
                <w:rFonts w:eastAsia="Arial Unicode MS" w:cs="Arial"/>
                <w:szCs w:val="20"/>
              </w:rPr>
            </w:pPr>
            <w:r w:rsidRPr="00BC4175">
              <w:rPr>
                <w:rFonts w:eastAsia="Arial Unicode MS" w:cs="Arial"/>
                <w:szCs w:val="20"/>
              </w:rPr>
              <w:lastRenderedPageBreak/>
              <w:t>RAG</w:t>
            </w:r>
          </w:p>
        </w:tc>
        <w:tc>
          <w:tcPr>
            <w:tcW w:w="6802" w:type="dxa"/>
            <w:shd w:val="clear" w:color="auto" w:fill="D9D9D9" w:themeFill="background2" w:themeFillShade="D9"/>
            <w:vAlign w:val="center"/>
          </w:tcPr>
          <w:p w14:paraId="7FB70DE3" w14:textId="77777777" w:rsidR="001F6614" w:rsidRPr="00BC4175" w:rsidRDefault="001F6614" w:rsidP="000E417C">
            <w:pPr>
              <w:spacing w:before="0" w:after="0" w:line="240" w:lineRule="auto"/>
              <w:jc w:val="center"/>
              <w:rPr>
                <w:rFonts w:eastAsia="Arial Unicode MS" w:cs="Arial"/>
                <w:szCs w:val="20"/>
              </w:rPr>
            </w:pPr>
            <w:r w:rsidRPr="00BC4175">
              <w:rPr>
                <w:rFonts w:eastAsia="Arial Unicode MS" w:cs="Arial"/>
                <w:szCs w:val="20"/>
              </w:rPr>
              <w:t>Finding</w:t>
            </w:r>
          </w:p>
        </w:tc>
        <w:tc>
          <w:tcPr>
            <w:tcW w:w="6803" w:type="dxa"/>
            <w:gridSpan w:val="2"/>
            <w:shd w:val="clear" w:color="auto" w:fill="D9D9D9" w:themeFill="background2" w:themeFillShade="D9"/>
            <w:vAlign w:val="center"/>
          </w:tcPr>
          <w:p w14:paraId="2C9CA744" w14:textId="77777777" w:rsidR="001F6614" w:rsidRPr="00BC4175" w:rsidRDefault="001F6614" w:rsidP="000E417C">
            <w:pPr>
              <w:spacing w:before="0" w:after="0" w:line="240" w:lineRule="auto"/>
              <w:jc w:val="center"/>
              <w:rPr>
                <w:rFonts w:eastAsia="Arial Unicode MS" w:cs="Arial"/>
                <w:szCs w:val="20"/>
              </w:rPr>
            </w:pPr>
            <w:r w:rsidRPr="00BC4175">
              <w:rPr>
                <w:rFonts w:eastAsia="Arial Unicode MS" w:cs="Arial"/>
                <w:szCs w:val="20"/>
              </w:rPr>
              <w:t>Recommendation</w:t>
            </w:r>
          </w:p>
        </w:tc>
      </w:tr>
      <w:tr w:rsidR="0027036D" w:rsidRPr="00071133" w14:paraId="0F760161" w14:textId="77777777" w:rsidTr="003A298A">
        <w:trPr>
          <w:cantSplit/>
        </w:trPr>
        <w:tc>
          <w:tcPr>
            <w:tcW w:w="1701" w:type="dxa"/>
            <w:shd w:val="clear" w:color="000000" w:fill="CDEDD3"/>
            <w:vAlign w:val="center"/>
          </w:tcPr>
          <w:p w14:paraId="0A704DA6" w14:textId="17097499" w:rsidR="0027036D" w:rsidRPr="009E688A" w:rsidRDefault="0027036D" w:rsidP="0027036D">
            <w:pPr>
              <w:rPr>
                <w:rFonts w:eastAsia="Arial Unicode MS"/>
                <w:bCs/>
                <w:color w:val="3C3060"/>
                <w:sz w:val="18"/>
                <w:szCs w:val="22"/>
              </w:rPr>
            </w:pPr>
            <w:r>
              <w:rPr>
                <w:rFonts w:cs="Calibri"/>
                <w:color w:val="215F2E"/>
                <w:sz w:val="22"/>
                <w:szCs w:val="22"/>
              </w:rPr>
              <w:t>Low Priority</w:t>
            </w:r>
          </w:p>
        </w:tc>
        <w:tc>
          <w:tcPr>
            <w:tcW w:w="6802" w:type="dxa"/>
            <w:tcBorders>
              <w:top w:val="single" w:sz="4" w:space="0" w:color="auto"/>
              <w:left w:val="single" w:sz="4" w:space="0" w:color="auto"/>
              <w:bottom w:val="single" w:sz="8" w:space="0" w:color="auto"/>
              <w:right w:val="single" w:sz="4" w:space="0" w:color="auto"/>
            </w:tcBorders>
            <w:shd w:val="clear" w:color="auto" w:fill="auto"/>
          </w:tcPr>
          <w:p w14:paraId="115F92A1" w14:textId="6060D894" w:rsidR="0027036D" w:rsidRPr="003A298A" w:rsidRDefault="0027036D" w:rsidP="0027036D">
            <w:pPr>
              <w:rPr>
                <w:sz w:val="22"/>
                <w:szCs w:val="26"/>
              </w:rPr>
            </w:pPr>
            <w:r w:rsidRPr="003A298A">
              <w:rPr>
                <w:rFonts w:cs="Calibri"/>
                <w:color w:val="1A1A1A"/>
                <w:sz w:val="22"/>
                <w:szCs w:val="22"/>
              </w:rPr>
              <w:t xml:space="preserve">It could not be evidenced by examination </w:t>
            </w:r>
            <w:r w:rsidRPr="001F6614">
              <w:rPr>
                <w:rFonts w:cs="Calibri"/>
                <w:sz w:val="22"/>
                <w:szCs w:val="22"/>
              </w:rPr>
              <w:t xml:space="preserve">of </w:t>
            </w:r>
            <w:r w:rsidR="006B0972" w:rsidRPr="001F6614">
              <w:rPr>
                <w:rFonts w:cs="Calibri"/>
                <w:sz w:val="22"/>
                <w:szCs w:val="22"/>
              </w:rPr>
              <w:t xml:space="preserve">meeting </w:t>
            </w:r>
            <w:r w:rsidRPr="001F6614">
              <w:rPr>
                <w:rFonts w:cs="Calibri"/>
                <w:sz w:val="22"/>
                <w:szCs w:val="22"/>
              </w:rPr>
              <w:t xml:space="preserve">minutes that key performance indicators are </w:t>
            </w:r>
            <w:r w:rsidR="002F041F" w:rsidRPr="001F6614">
              <w:rPr>
                <w:rFonts w:cs="Calibri"/>
                <w:sz w:val="22"/>
                <w:szCs w:val="22"/>
              </w:rPr>
              <w:t>calculated to measure performance</w:t>
            </w:r>
            <w:r w:rsidRPr="001F6614">
              <w:rPr>
                <w:rFonts w:cs="Calibri"/>
                <w:sz w:val="22"/>
                <w:szCs w:val="22"/>
              </w:rPr>
              <w:t xml:space="preserve"> </w:t>
            </w:r>
            <w:r w:rsidRPr="003A298A">
              <w:rPr>
                <w:rFonts w:cs="Calibri"/>
                <w:color w:val="1A1A1A"/>
                <w:sz w:val="22"/>
                <w:szCs w:val="22"/>
              </w:rPr>
              <w:t>regularly.</w:t>
            </w:r>
          </w:p>
        </w:tc>
        <w:tc>
          <w:tcPr>
            <w:tcW w:w="6803" w:type="dxa"/>
            <w:gridSpan w:val="2"/>
            <w:tcBorders>
              <w:top w:val="single" w:sz="4" w:space="0" w:color="auto"/>
              <w:left w:val="nil"/>
              <w:bottom w:val="single" w:sz="8" w:space="0" w:color="auto"/>
              <w:right w:val="single" w:sz="4" w:space="0" w:color="auto"/>
            </w:tcBorders>
            <w:shd w:val="clear" w:color="auto" w:fill="auto"/>
          </w:tcPr>
          <w:p w14:paraId="0BD812C6" w14:textId="77777777" w:rsidR="008F3D55" w:rsidRPr="001F6614" w:rsidRDefault="008F3D55" w:rsidP="0027036D">
            <w:pPr>
              <w:rPr>
                <w:rFonts w:cs="Calibri"/>
                <w:sz w:val="22"/>
                <w:szCs w:val="22"/>
              </w:rPr>
            </w:pPr>
            <w:r w:rsidRPr="001F6614">
              <w:rPr>
                <w:rFonts w:cs="Calibri"/>
                <w:sz w:val="22"/>
                <w:szCs w:val="22"/>
              </w:rPr>
              <w:t>Section 2.22 of the Academy trust handbook states</w:t>
            </w:r>
            <w:r w:rsidR="00EF2C24" w:rsidRPr="001F6614">
              <w:rPr>
                <w:rFonts w:cs="Calibri"/>
                <w:sz w:val="22"/>
                <w:szCs w:val="22"/>
              </w:rPr>
              <w:t>; “</w:t>
            </w:r>
            <w:r w:rsidRPr="001F6614">
              <w:rPr>
                <w:rFonts w:cs="Calibri"/>
                <w:sz w:val="22"/>
                <w:szCs w:val="22"/>
              </w:rPr>
              <w:t>The trust must select key financial performance indicators and measure its performance against them regularly</w:t>
            </w:r>
            <w:r w:rsidR="00EF2C24" w:rsidRPr="001F6614">
              <w:rPr>
                <w:rFonts w:cs="Calibri"/>
                <w:sz w:val="22"/>
                <w:szCs w:val="22"/>
              </w:rPr>
              <w:t>…”</w:t>
            </w:r>
          </w:p>
          <w:p w14:paraId="1A88DC3E" w14:textId="018E4359" w:rsidR="001A5318" w:rsidRPr="003A298A" w:rsidRDefault="001A5318" w:rsidP="0027036D">
            <w:pPr>
              <w:rPr>
                <w:sz w:val="22"/>
                <w:szCs w:val="26"/>
              </w:rPr>
            </w:pPr>
            <w:r w:rsidRPr="001F6614">
              <w:rPr>
                <w:sz w:val="22"/>
                <w:szCs w:val="26"/>
              </w:rPr>
              <w:t>Evidence of review should be included in the minutes of a meeting.</w:t>
            </w:r>
          </w:p>
        </w:tc>
      </w:tr>
      <w:tr w:rsidR="0027036D" w:rsidRPr="00BC4175" w14:paraId="0DFF38D2" w14:textId="77777777" w:rsidTr="000E417C">
        <w:trPr>
          <w:cantSplit/>
          <w:trHeight w:val="426"/>
        </w:trPr>
        <w:tc>
          <w:tcPr>
            <w:tcW w:w="1701" w:type="dxa"/>
            <w:shd w:val="clear" w:color="auto" w:fill="auto"/>
          </w:tcPr>
          <w:p w14:paraId="3D1FAB53" w14:textId="77777777" w:rsidR="0027036D" w:rsidRPr="00BC4175" w:rsidRDefault="0027036D" w:rsidP="0027036D">
            <w:pPr>
              <w:keepNext/>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Management Response:</w:t>
            </w:r>
          </w:p>
        </w:tc>
        <w:tc>
          <w:tcPr>
            <w:tcW w:w="6802" w:type="dxa"/>
            <w:shd w:val="clear" w:color="auto" w:fill="auto"/>
            <w:vAlign w:val="center"/>
          </w:tcPr>
          <w:p w14:paraId="02FC54C4" w14:textId="77777777" w:rsidR="0027036D" w:rsidRPr="00BC4175" w:rsidRDefault="0027036D" w:rsidP="0027036D">
            <w:pPr>
              <w:keepNext/>
              <w:keepLines/>
              <w:spacing w:before="80" w:after="80" w:line="300" w:lineRule="exact"/>
              <w:outlineLvl w:val="0"/>
              <w:rPr>
                <w:rFonts w:eastAsia="Arial Unicode MS" w:cs="Times New Roman (Headings CS)"/>
                <w:i/>
                <w:iCs/>
                <w:sz w:val="22"/>
                <w:szCs w:val="22"/>
              </w:rPr>
            </w:pPr>
          </w:p>
        </w:tc>
        <w:tc>
          <w:tcPr>
            <w:tcW w:w="1701" w:type="dxa"/>
            <w:shd w:val="clear" w:color="auto" w:fill="auto"/>
          </w:tcPr>
          <w:p w14:paraId="254C8CDD" w14:textId="77777777" w:rsidR="0027036D" w:rsidRPr="00BC4175" w:rsidRDefault="0027036D" w:rsidP="0027036D">
            <w:pPr>
              <w:keepNext/>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Responsibility / Due Date:</w:t>
            </w:r>
          </w:p>
        </w:tc>
        <w:tc>
          <w:tcPr>
            <w:tcW w:w="5102" w:type="dxa"/>
            <w:shd w:val="clear" w:color="auto" w:fill="auto"/>
          </w:tcPr>
          <w:p w14:paraId="04C4D3D5" w14:textId="77777777" w:rsidR="0027036D" w:rsidRPr="00BC4175" w:rsidRDefault="0027036D" w:rsidP="0027036D">
            <w:pPr>
              <w:keepNext/>
              <w:keepLines/>
              <w:spacing w:before="80" w:after="80" w:line="300" w:lineRule="exact"/>
              <w:outlineLvl w:val="0"/>
              <w:rPr>
                <w:rFonts w:eastAsia="Arial Unicode MS" w:cs="Times New Roman (Headings CS)"/>
                <w:i/>
                <w:iCs/>
                <w:sz w:val="22"/>
                <w:szCs w:val="22"/>
              </w:rPr>
            </w:pPr>
          </w:p>
        </w:tc>
      </w:tr>
      <w:tr w:rsidR="00D93EFB" w:rsidRPr="00BC4175" w14:paraId="428074B6" w14:textId="77777777" w:rsidTr="00127A61">
        <w:trPr>
          <w:cantSplit/>
          <w:trHeight w:val="454"/>
        </w:trPr>
        <w:tc>
          <w:tcPr>
            <w:tcW w:w="15306" w:type="dxa"/>
            <w:gridSpan w:val="4"/>
            <w:shd w:val="clear" w:color="auto" w:fill="2C1B57" w:themeFill="accent1" w:themeFillTint="E6"/>
          </w:tcPr>
          <w:p w14:paraId="1DD9AAF7" w14:textId="2CA22C57" w:rsidR="00D93EFB" w:rsidRPr="00BC4175" w:rsidRDefault="00D93EFB" w:rsidP="00D93EFB">
            <w:pPr>
              <w:keepNext/>
              <w:keepLines/>
              <w:spacing w:before="0" w:after="0" w:line="400" w:lineRule="exact"/>
              <w:outlineLvl w:val="0"/>
              <w:rPr>
                <w:rFonts w:ascii="Franklin Gothic Medium" w:eastAsia="Arial Unicode MS" w:hAnsi="Franklin Gothic Medium" w:cs="Times New Roman (Headings CS)"/>
                <w:color w:val="FFFFFF" w:themeColor="background1"/>
                <w:sz w:val="28"/>
                <w:szCs w:val="30"/>
              </w:rPr>
            </w:pPr>
            <w:r>
              <w:rPr>
                <w:rFonts w:ascii="Franklin Gothic Medium" w:eastAsia="Arial Unicode MS" w:hAnsi="Franklin Gothic Medium" w:cs="Times New Roman (Headings CS)"/>
                <w:color w:val="FFFFFF" w:themeColor="background1"/>
                <w:sz w:val="28"/>
                <w:szCs w:val="30"/>
              </w:rPr>
              <w:t>Income</w:t>
            </w:r>
          </w:p>
        </w:tc>
      </w:tr>
      <w:tr w:rsidR="003E0107" w:rsidRPr="003A298A" w14:paraId="5ACCD169" w14:textId="77777777" w:rsidTr="000E417C">
        <w:trPr>
          <w:cantSplit/>
        </w:trPr>
        <w:tc>
          <w:tcPr>
            <w:tcW w:w="1701" w:type="dxa"/>
            <w:shd w:val="clear" w:color="000000" w:fill="CDEDD3"/>
            <w:vAlign w:val="center"/>
          </w:tcPr>
          <w:p w14:paraId="645BDF9F" w14:textId="77777777" w:rsidR="003E0107" w:rsidRPr="009E688A" w:rsidRDefault="003E0107" w:rsidP="000E417C">
            <w:pPr>
              <w:rPr>
                <w:rFonts w:eastAsia="Arial Unicode MS"/>
                <w:bCs/>
                <w:color w:val="3C3060"/>
                <w:sz w:val="18"/>
                <w:szCs w:val="22"/>
              </w:rPr>
            </w:pPr>
            <w:r>
              <w:rPr>
                <w:rFonts w:cs="Calibri"/>
                <w:color w:val="215F2E"/>
                <w:sz w:val="22"/>
                <w:szCs w:val="22"/>
              </w:rPr>
              <w:t>Low Priority</w:t>
            </w:r>
          </w:p>
        </w:tc>
        <w:tc>
          <w:tcPr>
            <w:tcW w:w="6802" w:type="dxa"/>
            <w:tcBorders>
              <w:top w:val="single" w:sz="4" w:space="0" w:color="auto"/>
              <w:left w:val="single" w:sz="4" w:space="0" w:color="auto"/>
              <w:bottom w:val="single" w:sz="8" w:space="0" w:color="auto"/>
              <w:right w:val="single" w:sz="4" w:space="0" w:color="auto"/>
            </w:tcBorders>
            <w:shd w:val="clear" w:color="auto" w:fill="auto"/>
          </w:tcPr>
          <w:p w14:paraId="339ECF2C" w14:textId="572B8C21" w:rsidR="003E0107" w:rsidRPr="003A298A" w:rsidRDefault="003E0107" w:rsidP="000E417C">
            <w:pPr>
              <w:rPr>
                <w:sz w:val="22"/>
                <w:szCs w:val="26"/>
              </w:rPr>
            </w:pPr>
            <w:r>
              <w:rPr>
                <w:rFonts w:cs="Calibri"/>
                <w:sz w:val="22"/>
                <w:szCs w:val="22"/>
                <w14:ligatures w14:val="none"/>
              </w:rPr>
              <w:t xml:space="preserve">It was advised that the school’s policy is to always provide a meal for a student if they have no balance on their meals account.  This could result in the school having to cover the cost of the debt if it is not paid by the parent/s.  It was advised that this policy is not documented.  </w:t>
            </w:r>
          </w:p>
        </w:tc>
        <w:tc>
          <w:tcPr>
            <w:tcW w:w="6803" w:type="dxa"/>
            <w:gridSpan w:val="2"/>
            <w:tcBorders>
              <w:top w:val="single" w:sz="4" w:space="0" w:color="auto"/>
              <w:left w:val="nil"/>
              <w:bottom w:val="single" w:sz="8" w:space="0" w:color="auto"/>
              <w:right w:val="single" w:sz="4" w:space="0" w:color="auto"/>
            </w:tcBorders>
            <w:shd w:val="clear" w:color="auto" w:fill="auto"/>
          </w:tcPr>
          <w:p w14:paraId="0AEDAB2F" w14:textId="5A79DDE5" w:rsidR="003E0107" w:rsidRPr="003A298A" w:rsidRDefault="000F54D2" w:rsidP="000E417C">
            <w:pPr>
              <w:rPr>
                <w:sz w:val="22"/>
                <w:szCs w:val="26"/>
              </w:rPr>
            </w:pPr>
            <w:r>
              <w:rPr>
                <w:rFonts w:cs="Calibri"/>
                <w:sz w:val="22"/>
                <w:szCs w:val="22"/>
                <w14:ligatures w14:val="none"/>
              </w:rPr>
              <w:t xml:space="preserve">It is </w:t>
            </w:r>
            <w:r>
              <w:rPr>
                <w:rFonts w:cs="Calibri"/>
                <w:sz w:val="22"/>
                <w:szCs w:val="22"/>
                <w14:ligatures w14:val="none"/>
              </w:rPr>
              <w:t>recommended</w:t>
            </w:r>
            <w:r>
              <w:rPr>
                <w:rFonts w:cs="Calibri"/>
                <w:sz w:val="22"/>
                <w:szCs w:val="22"/>
                <w14:ligatures w14:val="none"/>
              </w:rPr>
              <w:t xml:space="preserve"> that this policy on meal provision is </w:t>
            </w:r>
            <w:r w:rsidRPr="00DF7730">
              <w:rPr>
                <w:rFonts w:cs="Calibri"/>
                <w:sz w:val="22"/>
                <w:szCs w:val="22"/>
                <w14:ligatures w14:val="none"/>
              </w:rPr>
              <w:t>documented and approved by trustees.</w:t>
            </w:r>
          </w:p>
        </w:tc>
      </w:tr>
      <w:tr w:rsidR="003E0107" w:rsidRPr="00BC4175" w14:paraId="601EAF96" w14:textId="77777777" w:rsidTr="000E417C">
        <w:trPr>
          <w:cantSplit/>
          <w:trHeight w:val="426"/>
        </w:trPr>
        <w:tc>
          <w:tcPr>
            <w:tcW w:w="1701" w:type="dxa"/>
            <w:shd w:val="clear" w:color="auto" w:fill="auto"/>
          </w:tcPr>
          <w:p w14:paraId="7E8A90D7" w14:textId="77777777" w:rsidR="003E0107" w:rsidRPr="00BC4175" w:rsidRDefault="003E0107" w:rsidP="000E417C">
            <w:pPr>
              <w:keepNext/>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Management Response:</w:t>
            </w:r>
          </w:p>
        </w:tc>
        <w:tc>
          <w:tcPr>
            <w:tcW w:w="6802" w:type="dxa"/>
            <w:shd w:val="clear" w:color="auto" w:fill="auto"/>
            <w:vAlign w:val="center"/>
          </w:tcPr>
          <w:p w14:paraId="24E3974C" w14:textId="77777777" w:rsidR="003E0107" w:rsidRPr="00BC4175" w:rsidRDefault="003E0107" w:rsidP="000E417C">
            <w:pPr>
              <w:keepNext/>
              <w:keepLines/>
              <w:spacing w:before="80" w:after="80" w:line="300" w:lineRule="exact"/>
              <w:outlineLvl w:val="0"/>
              <w:rPr>
                <w:rFonts w:eastAsia="Arial Unicode MS" w:cs="Times New Roman (Headings CS)"/>
                <w:i/>
                <w:iCs/>
                <w:sz w:val="22"/>
                <w:szCs w:val="22"/>
              </w:rPr>
            </w:pPr>
          </w:p>
        </w:tc>
        <w:tc>
          <w:tcPr>
            <w:tcW w:w="1701" w:type="dxa"/>
            <w:shd w:val="clear" w:color="auto" w:fill="auto"/>
          </w:tcPr>
          <w:p w14:paraId="4A2FF695" w14:textId="77777777" w:rsidR="003E0107" w:rsidRPr="00BC4175" w:rsidRDefault="003E0107" w:rsidP="000E417C">
            <w:pPr>
              <w:keepNext/>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Responsibility / Due Date:</w:t>
            </w:r>
          </w:p>
        </w:tc>
        <w:tc>
          <w:tcPr>
            <w:tcW w:w="5102" w:type="dxa"/>
            <w:shd w:val="clear" w:color="auto" w:fill="auto"/>
          </w:tcPr>
          <w:p w14:paraId="2D137FE8" w14:textId="77777777" w:rsidR="003E0107" w:rsidRPr="00BC4175" w:rsidRDefault="003E0107" w:rsidP="000E417C">
            <w:pPr>
              <w:keepNext/>
              <w:keepLines/>
              <w:spacing w:before="80" w:after="80" w:line="300" w:lineRule="exact"/>
              <w:outlineLvl w:val="0"/>
              <w:rPr>
                <w:rFonts w:eastAsia="Arial Unicode MS" w:cs="Times New Roman (Headings CS)"/>
                <w:i/>
                <w:iCs/>
                <w:sz w:val="22"/>
                <w:szCs w:val="22"/>
              </w:rPr>
            </w:pPr>
          </w:p>
        </w:tc>
      </w:tr>
    </w:tbl>
    <w:p w14:paraId="0B5CC3A5" w14:textId="77777777" w:rsidR="00BC4175" w:rsidRDefault="00BC4175" w:rsidP="00BC4175"/>
    <w:p w14:paraId="15A00F41" w14:textId="4A9B5DCB" w:rsidR="001344F5" w:rsidRPr="003E0107" w:rsidRDefault="001344F5" w:rsidP="001344F5">
      <w:pPr>
        <w:suppressAutoHyphens w:val="0"/>
        <w:spacing w:before="0" w:after="0" w:line="240" w:lineRule="auto"/>
      </w:pPr>
    </w:p>
    <w:p w14:paraId="3875FAA5" w14:textId="77777777" w:rsidR="00D50B64" w:rsidRPr="00B87A87" w:rsidRDefault="001344F5" w:rsidP="00B87A87">
      <w:pPr>
        <w:suppressAutoHyphens w:val="0"/>
        <w:spacing w:before="0" w:after="0" w:line="240" w:lineRule="auto"/>
        <w:rPr>
          <w:rFonts w:ascii="Franklin Gothic Medium" w:eastAsia="Arial Unicode MS" w:hAnsi="Franklin Gothic Medium" w:cs="Times New Roman (Headings CS)"/>
          <w:caps/>
          <w:color w:val="1C1238"/>
          <w:sz w:val="40"/>
          <w:szCs w:val="32"/>
        </w:rPr>
      </w:pPr>
      <w:r w:rsidRPr="001344F5">
        <w:rPr>
          <w:rFonts w:eastAsia="Arial Unicode MS"/>
        </w:rPr>
        <w:br w:type="page"/>
      </w:r>
    </w:p>
    <w:p w14:paraId="211D511A" w14:textId="77777777" w:rsidR="00D50B64" w:rsidRDefault="00D50B64" w:rsidP="00143CE0">
      <w:pPr>
        <w:pStyle w:val="Sub-heading"/>
      </w:pPr>
      <w:r>
        <w:lastRenderedPageBreak/>
        <w:t>K</w:t>
      </w:r>
      <w:r w:rsidR="00272763">
        <w:t>ey Contacts</w:t>
      </w:r>
    </w:p>
    <w:tbl>
      <w:tblPr>
        <w:tblW w:w="13520" w:type="dxa"/>
        <w:jc w:val="center"/>
        <w:tblLayout w:type="fixed"/>
        <w:tblCellMar>
          <w:left w:w="10" w:type="dxa"/>
          <w:right w:w="10" w:type="dxa"/>
        </w:tblCellMar>
        <w:tblLook w:val="0000" w:firstRow="0" w:lastRow="0" w:firstColumn="0" w:lastColumn="0" w:noHBand="0" w:noVBand="0"/>
      </w:tblPr>
      <w:tblGrid>
        <w:gridCol w:w="4817"/>
        <w:gridCol w:w="8703"/>
      </w:tblGrid>
      <w:tr w:rsidR="00A12104" w14:paraId="2F53C920" w14:textId="77777777" w:rsidTr="00855FE3">
        <w:trPr>
          <w:trHeight w:val="555"/>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246D8BC" w14:textId="77777777" w:rsidR="00A12104" w:rsidRDefault="00A12104" w:rsidP="00855FE3">
            <w:pPr>
              <w:rPr>
                <w:rFonts w:ascii="Franklin Gothic Medium" w:hAnsi="Franklin Gothic Medium"/>
                <w:sz w:val="22"/>
                <w:szCs w:val="26"/>
              </w:rPr>
            </w:pPr>
            <w:r>
              <w:rPr>
                <w:rFonts w:ascii="Franklin Gothic Medium" w:hAnsi="Franklin Gothic Medium"/>
                <w:sz w:val="22"/>
                <w:szCs w:val="26"/>
              </w:rPr>
              <w:t>Juniper Education Review Consultant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5809C" w14:textId="77777777" w:rsidR="00A12104" w:rsidRDefault="00A12104" w:rsidP="00855FE3">
            <w:pPr>
              <w:spacing w:after="200" w:line="276" w:lineRule="auto"/>
              <w:rPr>
                <w:rFonts w:eastAsia="Arial Unicode MS" w:cs="Arial"/>
                <w:sz w:val="22"/>
                <w:szCs w:val="22"/>
              </w:rPr>
            </w:pPr>
            <w:r>
              <w:rPr>
                <w:rFonts w:eastAsia="Arial Unicode MS" w:cs="Arial"/>
                <w:sz w:val="22"/>
                <w:szCs w:val="22"/>
              </w:rPr>
              <w:t>Sian Smith</w:t>
            </w:r>
          </w:p>
        </w:tc>
      </w:tr>
      <w:tr w:rsidR="00A12104" w14:paraId="0DA04FB4" w14:textId="77777777" w:rsidTr="00855FE3">
        <w:trPr>
          <w:trHeight w:val="555"/>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578C0B" w14:textId="77777777" w:rsidR="00A12104" w:rsidRDefault="00A12104" w:rsidP="00855FE3">
            <w:pPr>
              <w:rPr>
                <w:rFonts w:ascii="Franklin Gothic Medium" w:hAnsi="Franklin Gothic Medium"/>
                <w:sz w:val="22"/>
                <w:szCs w:val="26"/>
              </w:rPr>
            </w:pPr>
            <w:r>
              <w:rPr>
                <w:rFonts w:ascii="Franklin Gothic Medium" w:hAnsi="Franklin Gothic Medium"/>
                <w:sz w:val="22"/>
                <w:szCs w:val="26"/>
              </w:rPr>
              <w:t>Juniper Review Programme Manager</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45D6A" w14:textId="77777777" w:rsidR="00A12104" w:rsidRDefault="00A12104" w:rsidP="00855FE3">
            <w:pPr>
              <w:spacing w:after="200" w:line="276" w:lineRule="auto"/>
              <w:rPr>
                <w:rFonts w:eastAsia="Arial Unicode MS" w:cs="Arial"/>
                <w:sz w:val="22"/>
                <w:szCs w:val="22"/>
              </w:rPr>
            </w:pPr>
            <w:r>
              <w:rPr>
                <w:rFonts w:eastAsia="Arial Unicode MS" w:cs="Arial"/>
                <w:sz w:val="22"/>
                <w:szCs w:val="22"/>
              </w:rPr>
              <w:t>Joanne Ward FCCA</w:t>
            </w:r>
          </w:p>
        </w:tc>
      </w:tr>
      <w:tr w:rsidR="00A12104" w14:paraId="5D680D28" w14:textId="77777777" w:rsidTr="00855FE3">
        <w:trPr>
          <w:trHeight w:val="555"/>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A1E559A" w14:textId="77777777" w:rsidR="00A12104" w:rsidRDefault="00A12104" w:rsidP="00855FE3">
            <w:pPr>
              <w:rPr>
                <w:rFonts w:ascii="Franklin Gothic Medium" w:hAnsi="Franklin Gothic Medium"/>
                <w:sz w:val="22"/>
                <w:szCs w:val="26"/>
              </w:rPr>
            </w:pPr>
            <w:r>
              <w:rPr>
                <w:rFonts w:ascii="Franklin Gothic Medium" w:hAnsi="Franklin Gothic Medium"/>
                <w:sz w:val="22"/>
                <w:szCs w:val="26"/>
              </w:rPr>
              <w:t>Information Provided by</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6CB09" w14:textId="77777777" w:rsidR="00A12104" w:rsidRDefault="00A12104" w:rsidP="00855FE3">
            <w:pPr>
              <w:spacing w:after="200" w:line="276" w:lineRule="auto"/>
              <w:rPr>
                <w:rFonts w:eastAsia="Arial Unicode MS" w:cs="Arial"/>
                <w:sz w:val="22"/>
                <w:szCs w:val="22"/>
              </w:rPr>
            </w:pPr>
            <w:r>
              <w:rPr>
                <w:rFonts w:eastAsia="Arial Unicode MS" w:cs="Arial"/>
                <w:sz w:val="22"/>
                <w:szCs w:val="22"/>
              </w:rPr>
              <w:t>Finance Manager (D Matthews)</w:t>
            </w:r>
          </w:p>
        </w:tc>
      </w:tr>
      <w:tr w:rsidR="00A12104" w14:paraId="620BEF7E" w14:textId="77777777" w:rsidTr="00855FE3">
        <w:trPr>
          <w:trHeight w:val="555"/>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BCD9F27" w14:textId="77777777" w:rsidR="00A12104" w:rsidRDefault="00A12104" w:rsidP="00855FE3">
            <w:pPr>
              <w:rPr>
                <w:rFonts w:ascii="Franklin Gothic Medium" w:hAnsi="Franklin Gothic Medium"/>
                <w:sz w:val="22"/>
                <w:szCs w:val="26"/>
              </w:rPr>
            </w:pPr>
            <w:r>
              <w:rPr>
                <w:rFonts w:ascii="Franklin Gothic Medium" w:hAnsi="Franklin Gothic Medium"/>
                <w:sz w:val="22"/>
                <w:szCs w:val="26"/>
              </w:rPr>
              <w:t>Exit meeting attended by</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FA364" w14:textId="77777777" w:rsidR="00A12104" w:rsidRDefault="00A12104" w:rsidP="00855FE3">
            <w:pPr>
              <w:spacing w:after="200" w:line="276" w:lineRule="auto"/>
              <w:rPr>
                <w:rFonts w:eastAsia="Arial Unicode MS" w:cs="Arial"/>
                <w:sz w:val="22"/>
                <w:szCs w:val="22"/>
              </w:rPr>
            </w:pPr>
            <w:r>
              <w:rPr>
                <w:rFonts w:eastAsia="Arial Unicode MS" w:cs="Arial"/>
                <w:sz w:val="22"/>
                <w:szCs w:val="22"/>
              </w:rPr>
              <w:t>Business Manager &amp; Finance Manager</w:t>
            </w:r>
          </w:p>
        </w:tc>
      </w:tr>
      <w:tr w:rsidR="00A12104" w14:paraId="6F180538" w14:textId="77777777" w:rsidTr="00855FE3">
        <w:trPr>
          <w:trHeight w:val="555"/>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EEFAF81" w14:textId="77777777" w:rsidR="00A12104" w:rsidRDefault="00A12104" w:rsidP="00855FE3">
            <w:pPr>
              <w:rPr>
                <w:rFonts w:ascii="Franklin Gothic Medium" w:hAnsi="Franklin Gothic Medium"/>
                <w:sz w:val="22"/>
                <w:szCs w:val="26"/>
              </w:rPr>
            </w:pPr>
            <w:r>
              <w:rPr>
                <w:rFonts w:ascii="Franklin Gothic Medium" w:hAnsi="Franklin Gothic Medium"/>
                <w:sz w:val="22"/>
                <w:szCs w:val="26"/>
              </w:rPr>
              <w:t>Chair of the Board of Trustees</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CD5EF" w14:textId="77777777" w:rsidR="00A12104" w:rsidRDefault="00A12104" w:rsidP="00855FE3">
            <w:pPr>
              <w:spacing w:after="200" w:line="276" w:lineRule="auto"/>
              <w:rPr>
                <w:rFonts w:eastAsia="Arial Unicode MS" w:cs="Arial"/>
                <w:sz w:val="22"/>
                <w:szCs w:val="22"/>
              </w:rPr>
            </w:pPr>
            <w:r>
              <w:rPr>
                <w:rFonts w:eastAsia="Arial Unicode MS" w:cs="Arial"/>
                <w:sz w:val="22"/>
                <w:szCs w:val="22"/>
              </w:rPr>
              <w:t>J Swettenham</w:t>
            </w:r>
          </w:p>
        </w:tc>
      </w:tr>
      <w:tr w:rsidR="00A12104" w14:paraId="443D547C" w14:textId="77777777" w:rsidTr="00855FE3">
        <w:trPr>
          <w:trHeight w:val="555"/>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78D158E" w14:textId="36C671A6" w:rsidR="00A12104" w:rsidRDefault="00A12104" w:rsidP="00855FE3">
            <w:pPr>
              <w:rPr>
                <w:rFonts w:ascii="Franklin Gothic Medium" w:hAnsi="Franklin Gothic Medium"/>
                <w:sz w:val="22"/>
                <w:szCs w:val="26"/>
              </w:rPr>
            </w:pPr>
            <w:r w:rsidRPr="00AD7C7C">
              <w:rPr>
                <w:rFonts w:ascii="Franklin Gothic Medium" w:hAnsi="Franklin Gothic Medium"/>
                <w:sz w:val="22"/>
                <w:szCs w:val="26"/>
              </w:rPr>
              <w:t xml:space="preserve">Chair of </w:t>
            </w:r>
            <w:r w:rsidR="006A16A9" w:rsidRPr="00AD7C7C">
              <w:rPr>
                <w:rFonts w:ascii="Franklin Gothic Medium" w:hAnsi="Franklin Gothic Medium"/>
                <w:sz w:val="22"/>
                <w:szCs w:val="26"/>
              </w:rPr>
              <w:t xml:space="preserve">the </w:t>
            </w:r>
            <w:r w:rsidRPr="00AD7C7C">
              <w:rPr>
                <w:rFonts w:ascii="Franklin Gothic Medium" w:hAnsi="Franklin Gothic Medium"/>
                <w:sz w:val="22"/>
                <w:szCs w:val="26"/>
              </w:rPr>
              <w:t xml:space="preserve">Resources </w:t>
            </w:r>
            <w:r>
              <w:rPr>
                <w:rFonts w:ascii="Franklin Gothic Medium" w:hAnsi="Franklin Gothic Medium"/>
                <w:sz w:val="22"/>
                <w:szCs w:val="26"/>
              </w:rPr>
              <w:t>Committee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0A4C1" w14:textId="77777777" w:rsidR="00A12104" w:rsidRDefault="00A12104" w:rsidP="00855FE3">
            <w:pPr>
              <w:spacing w:after="200" w:line="276" w:lineRule="auto"/>
              <w:rPr>
                <w:rFonts w:eastAsia="Arial Unicode MS" w:cs="Arial"/>
                <w:sz w:val="22"/>
                <w:szCs w:val="22"/>
              </w:rPr>
            </w:pPr>
            <w:r>
              <w:rPr>
                <w:rFonts w:eastAsia="Arial Unicode MS" w:cs="Arial"/>
                <w:sz w:val="22"/>
                <w:szCs w:val="22"/>
              </w:rPr>
              <w:t>K Boulton</w:t>
            </w:r>
          </w:p>
        </w:tc>
      </w:tr>
      <w:tr w:rsidR="00A12104" w14:paraId="3CFFBE90" w14:textId="77777777" w:rsidTr="00855FE3">
        <w:trPr>
          <w:trHeight w:val="555"/>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FDEE0C0" w14:textId="443A15F6" w:rsidR="00A12104" w:rsidRDefault="00A12104" w:rsidP="00855FE3">
            <w:pPr>
              <w:rPr>
                <w:rFonts w:ascii="Franklin Gothic Medium" w:hAnsi="Franklin Gothic Medium"/>
                <w:sz w:val="22"/>
                <w:szCs w:val="26"/>
              </w:rPr>
            </w:pPr>
            <w:r>
              <w:rPr>
                <w:rFonts w:ascii="Franklin Gothic Medium" w:hAnsi="Franklin Gothic Medium"/>
                <w:sz w:val="22"/>
                <w:szCs w:val="26"/>
              </w:rPr>
              <w:t xml:space="preserve">Headteacher / </w:t>
            </w:r>
            <w:r w:rsidR="009F322A">
              <w:rPr>
                <w:rFonts w:ascii="Franklin Gothic Medium" w:hAnsi="Franklin Gothic Medium"/>
                <w:sz w:val="22"/>
                <w:szCs w:val="26"/>
              </w:rPr>
              <w:t>AO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11F70" w14:textId="77777777" w:rsidR="00A12104" w:rsidRDefault="00A12104" w:rsidP="00855FE3">
            <w:pPr>
              <w:spacing w:after="200" w:line="276" w:lineRule="auto"/>
              <w:rPr>
                <w:rFonts w:eastAsia="Arial Unicode MS" w:cs="Arial"/>
                <w:sz w:val="22"/>
                <w:szCs w:val="22"/>
              </w:rPr>
            </w:pPr>
            <w:r>
              <w:rPr>
                <w:rFonts w:eastAsia="Arial Unicode MS" w:cs="Arial"/>
                <w:sz w:val="22"/>
                <w:szCs w:val="22"/>
              </w:rPr>
              <w:t>C Costello</w:t>
            </w:r>
          </w:p>
        </w:tc>
      </w:tr>
      <w:tr w:rsidR="00A12104" w14:paraId="41C045CC" w14:textId="77777777" w:rsidTr="00855FE3">
        <w:trPr>
          <w:trHeight w:val="555"/>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A3E80F7" w14:textId="0E99DF01" w:rsidR="00A12104" w:rsidRDefault="00A12104" w:rsidP="00855FE3">
            <w:pPr>
              <w:rPr>
                <w:rFonts w:ascii="Franklin Gothic Medium" w:hAnsi="Franklin Gothic Medium"/>
                <w:sz w:val="22"/>
                <w:szCs w:val="26"/>
              </w:rPr>
            </w:pPr>
            <w:r>
              <w:rPr>
                <w:rFonts w:ascii="Franklin Gothic Medium" w:hAnsi="Franklin Gothic Medium"/>
                <w:sz w:val="22"/>
                <w:szCs w:val="26"/>
              </w:rPr>
              <w:t xml:space="preserve">Business Manager </w:t>
            </w:r>
            <w:r w:rsidR="009F322A">
              <w:rPr>
                <w:rFonts w:ascii="Franklin Gothic Medium" w:hAnsi="Franklin Gothic Medium"/>
                <w:sz w:val="22"/>
                <w:szCs w:val="26"/>
              </w:rPr>
              <w:t>/ CFO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657BB" w14:textId="77777777" w:rsidR="00A12104" w:rsidRDefault="00A12104" w:rsidP="00855FE3">
            <w:pPr>
              <w:spacing w:after="200" w:line="276" w:lineRule="auto"/>
              <w:rPr>
                <w:rFonts w:eastAsia="Arial Unicode MS" w:cs="Arial"/>
                <w:sz w:val="22"/>
                <w:szCs w:val="22"/>
              </w:rPr>
            </w:pPr>
            <w:r>
              <w:rPr>
                <w:rFonts w:eastAsia="Arial Unicode MS" w:cs="Arial"/>
                <w:sz w:val="22"/>
                <w:szCs w:val="22"/>
              </w:rPr>
              <w:t>S Roberts</w:t>
            </w:r>
          </w:p>
        </w:tc>
      </w:tr>
      <w:tr w:rsidR="00A12104" w14:paraId="5C4AD21C" w14:textId="77777777" w:rsidTr="00855FE3">
        <w:trPr>
          <w:trHeight w:val="555"/>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8428B0A" w14:textId="77777777" w:rsidR="00A12104" w:rsidRDefault="00A12104" w:rsidP="00855FE3">
            <w:pPr>
              <w:rPr>
                <w:rFonts w:ascii="Franklin Gothic Medium" w:hAnsi="Franklin Gothic Medium"/>
                <w:sz w:val="22"/>
                <w:szCs w:val="26"/>
              </w:rPr>
            </w:pPr>
            <w:r>
              <w:rPr>
                <w:rFonts w:ascii="Franklin Gothic Medium" w:hAnsi="Franklin Gothic Medium"/>
                <w:sz w:val="22"/>
                <w:szCs w:val="26"/>
              </w:rPr>
              <w:t>Financial Accounting System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CAFA2" w14:textId="77777777" w:rsidR="00A12104" w:rsidRDefault="00A12104" w:rsidP="00855FE3">
            <w:pPr>
              <w:spacing w:after="200" w:line="276" w:lineRule="auto"/>
              <w:rPr>
                <w:rFonts w:eastAsia="Arial Unicode MS" w:cs="Arial"/>
                <w:sz w:val="22"/>
                <w:szCs w:val="22"/>
              </w:rPr>
            </w:pPr>
            <w:r>
              <w:rPr>
                <w:rFonts w:eastAsia="Arial Unicode MS" w:cs="Arial"/>
                <w:sz w:val="22"/>
                <w:szCs w:val="22"/>
              </w:rPr>
              <w:t>FMS</w:t>
            </w:r>
          </w:p>
        </w:tc>
      </w:tr>
    </w:tbl>
    <w:p w14:paraId="031546B9" w14:textId="77777777" w:rsidR="00A12104" w:rsidRPr="00471147" w:rsidRDefault="00A12104" w:rsidP="00143CE0">
      <w:pPr>
        <w:pStyle w:val="Sub-heading"/>
      </w:pPr>
    </w:p>
    <w:p w14:paraId="2EC41E8B" w14:textId="77777777" w:rsidR="00A12104" w:rsidRDefault="00A12104">
      <w:pPr>
        <w:suppressAutoHyphens w:val="0"/>
        <w:spacing w:before="0" w:after="0" w:line="240" w:lineRule="auto"/>
        <w:rPr>
          <w:rFonts w:eastAsia="Arial Unicode MS"/>
          <w:b/>
          <w:color w:val="3C3060"/>
          <w:sz w:val="40"/>
          <w:szCs w:val="40"/>
        </w:rPr>
      </w:pPr>
      <w:r>
        <w:rPr>
          <w:rFonts w:eastAsia="Arial Unicode MS"/>
          <w:b/>
          <w:color w:val="3C3060"/>
          <w:sz w:val="40"/>
          <w:szCs w:val="40"/>
        </w:rPr>
        <w:br w:type="page"/>
      </w:r>
    </w:p>
    <w:p w14:paraId="7B049FED" w14:textId="201A5F3B" w:rsidR="00D50B64" w:rsidRDefault="00D50B64" w:rsidP="00D50B64">
      <w:pPr>
        <w:spacing w:line="276" w:lineRule="auto"/>
        <w:rPr>
          <w:rFonts w:eastAsia="Arial Unicode MS"/>
          <w:b/>
          <w:color w:val="3C3060"/>
          <w:sz w:val="32"/>
          <w:szCs w:val="32"/>
        </w:rPr>
      </w:pPr>
      <w:r w:rsidRPr="00B269F9">
        <w:rPr>
          <w:rFonts w:eastAsia="Arial Unicode MS"/>
          <w:b/>
          <w:color w:val="3C3060"/>
          <w:sz w:val="40"/>
          <w:szCs w:val="40"/>
        </w:rPr>
        <w:lastRenderedPageBreak/>
        <w:t xml:space="preserve">EMERGING ISSUES </w:t>
      </w:r>
    </w:p>
    <w:p w14:paraId="7B784187" w14:textId="77777777" w:rsidR="009E688A" w:rsidRPr="00FA5004" w:rsidRDefault="009E688A" w:rsidP="00143CE0">
      <w:pPr>
        <w:pStyle w:val="Sub-heading"/>
      </w:pPr>
      <w:r>
        <w:t xml:space="preserve">INTEGRATED CURRICULUM </w:t>
      </w:r>
      <w:r w:rsidR="00BA3919">
        <w:t xml:space="preserve">AND </w:t>
      </w:r>
      <w:r>
        <w:t>FINANCIAL PLANNING (ICFP)</w:t>
      </w:r>
    </w:p>
    <w:p w14:paraId="4F76D0C0" w14:textId="77777777" w:rsidR="00FE7D9F" w:rsidRDefault="00FE7D9F" w:rsidP="00FE7D9F">
      <w:pPr>
        <w:rPr>
          <w:sz w:val="22"/>
          <w:szCs w:val="26"/>
        </w:rPr>
      </w:pPr>
      <w:r w:rsidRPr="00FE7D9F">
        <w:rPr>
          <w:sz w:val="22"/>
          <w:szCs w:val="26"/>
        </w:rPr>
        <w:t>Integrated curriculum and financial planning is a management process that helps schools plan the best curriculum for their pupils with the funding they have available. It can be used at any phase or type of school.</w:t>
      </w:r>
      <w:r w:rsidR="00BA3919">
        <w:rPr>
          <w:sz w:val="22"/>
          <w:szCs w:val="26"/>
        </w:rPr>
        <w:t xml:space="preserve">  </w:t>
      </w:r>
      <w:r w:rsidRPr="00FE7D9F">
        <w:rPr>
          <w:sz w:val="22"/>
          <w:szCs w:val="26"/>
        </w:rPr>
        <w:t>ICFP involves measuring your current curriculum, staffing structure and finances, and using the data to create a 3- to 5-year plan. Linking curriculum and financial planning can help you:</w:t>
      </w:r>
      <w:r>
        <w:rPr>
          <w:sz w:val="22"/>
          <w:szCs w:val="26"/>
        </w:rPr>
        <w:t xml:space="preserve"> </w:t>
      </w:r>
      <w:r w:rsidRPr="00FE7D9F">
        <w:rPr>
          <w:sz w:val="22"/>
          <w:szCs w:val="26"/>
        </w:rPr>
        <w:t>achieve educational success and financial sustainability</w:t>
      </w:r>
      <w:r>
        <w:rPr>
          <w:sz w:val="22"/>
          <w:szCs w:val="26"/>
        </w:rPr>
        <w:t xml:space="preserve">; </w:t>
      </w:r>
      <w:r w:rsidRPr="00FE7D9F">
        <w:rPr>
          <w:sz w:val="22"/>
          <w:szCs w:val="26"/>
        </w:rPr>
        <w:t>deliver the best curriculum your school can afford that meets the needs of your pupils</w:t>
      </w:r>
      <w:r>
        <w:rPr>
          <w:sz w:val="22"/>
          <w:szCs w:val="26"/>
        </w:rPr>
        <w:t>.</w:t>
      </w:r>
    </w:p>
    <w:p w14:paraId="1C334792" w14:textId="77777777" w:rsidR="00FE7D9F" w:rsidRPr="00FE7D9F" w:rsidRDefault="00000000" w:rsidP="00FE7D9F">
      <w:pPr>
        <w:rPr>
          <w:sz w:val="22"/>
          <w:szCs w:val="26"/>
        </w:rPr>
      </w:pPr>
      <w:hyperlink r:id="rId11" w:history="1">
        <w:r w:rsidR="00FE7D9F" w:rsidRPr="00FE7D9F">
          <w:rPr>
            <w:rStyle w:val="Hyperlink"/>
            <w:sz w:val="22"/>
            <w:szCs w:val="26"/>
          </w:rPr>
          <w:t>Free ICFP tools</w:t>
        </w:r>
      </w:hyperlink>
      <w:r w:rsidR="00FE7D9F">
        <w:rPr>
          <w:sz w:val="22"/>
          <w:szCs w:val="26"/>
        </w:rPr>
        <w:t xml:space="preserve"> are available for different school types on the DofE website</w:t>
      </w:r>
      <w:r w:rsidR="00BA3919">
        <w:rPr>
          <w:sz w:val="22"/>
          <w:szCs w:val="26"/>
        </w:rPr>
        <w:t xml:space="preserve">.  Juniper is also able to offer an ICFP Health Check as part of your trust’s internal scrutiny program, </w:t>
      </w:r>
      <w:r w:rsidR="00BA3919" w:rsidRPr="005A7185">
        <w:rPr>
          <w:sz w:val="22"/>
          <w:szCs w:val="22"/>
        </w:rPr>
        <w:t xml:space="preserve">. If you would like </w:t>
      </w:r>
      <w:r w:rsidR="00BA3919">
        <w:rPr>
          <w:sz w:val="22"/>
          <w:szCs w:val="22"/>
        </w:rPr>
        <w:t>more information about this</w:t>
      </w:r>
      <w:r w:rsidR="00BA3919" w:rsidRPr="005A7185">
        <w:rPr>
          <w:sz w:val="22"/>
          <w:szCs w:val="22"/>
        </w:rPr>
        <w:t xml:space="preserve">, please contact </w:t>
      </w:r>
      <w:hyperlink r:id="rId12" w:history="1">
        <w:r w:rsidR="00BA3919" w:rsidRPr="005A7185">
          <w:rPr>
            <w:sz w:val="22"/>
            <w:szCs w:val="22"/>
            <w:u w:val="single"/>
          </w:rPr>
          <w:t>carly.quickcrockford@junipereducation.org</w:t>
        </w:r>
      </w:hyperlink>
    </w:p>
    <w:p w14:paraId="764D5C24" w14:textId="77777777" w:rsidR="00D50B64" w:rsidRPr="00B87A87" w:rsidRDefault="00D50B64" w:rsidP="00143CE0">
      <w:pPr>
        <w:pStyle w:val="Sub-heading"/>
      </w:pPr>
      <w:r w:rsidRPr="00B87A87">
        <w:t xml:space="preserve">CYBER SECURITY </w:t>
      </w:r>
    </w:p>
    <w:p w14:paraId="10D4C273" w14:textId="77777777" w:rsidR="00D50B64" w:rsidRPr="00865B75" w:rsidRDefault="00D50B64" w:rsidP="00D50B64">
      <w:pPr>
        <w:spacing w:line="240" w:lineRule="auto"/>
        <w:rPr>
          <w:rFonts w:eastAsia="Arial Unicode MS"/>
          <w:b/>
          <w:bCs/>
          <w:color w:val="3C3060"/>
          <w:sz w:val="28"/>
          <w:szCs w:val="28"/>
          <w:lang w:eastAsia="en-GB"/>
        </w:rPr>
      </w:pPr>
      <w:r w:rsidRPr="00865B75">
        <w:rPr>
          <w:sz w:val="22"/>
          <w:szCs w:val="22"/>
        </w:rPr>
        <w:t>Cyber security has continued to be a growing area of concern and risk over the past 1</w:t>
      </w:r>
      <w:r>
        <w:rPr>
          <w:sz w:val="22"/>
          <w:szCs w:val="22"/>
        </w:rPr>
        <w:t>8</w:t>
      </w:r>
      <w:r w:rsidRPr="00865B75">
        <w:rPr>
          <w:sz w:val="22"/>
          <w:szCs w:val="22"/>
        </w:rPr>
        <w:t xml:space="preserve"> months, with more people working remotely and an increased frequency of email hacking, phishing and malvertising.  The July 2020 </w:t>
      </w:r>
      <w:hyperlink r:id="rId13" w:anchor="new-guidance-on-managing-cyber-security-risks-in-your-school" w:history="1">
        <w:r w:rsidRPr="00865B75">
          <w:rPr>
            <w:rStyle w:val="Hyperlink"/>
            <w:sz w:val="22"/>
            <w:szCs w:val="22"/>
          </w:rPr>
          <w:t>governance update</w:t>
        </w:r>
      </w:hyperlink>
      <w:r w:rsidRPr="00865B75">
        <w:rPr>
          <w:sz w:val="22"/>
          <w:szCs w:val="22"/>
        </w:rPr>
        <w:t xml:space="preserve"> advises that schools should include an assessment of cyber security within their risk registers, and the ESFA have produced further guidance and suggested questions that trustees can ask on the </w:t>
      </w:r>
      <w:hyperlink r:id="rId14" w:history="1">
        <w:r w:rsidRPr="00865B75">
          <w:rPr>
            <w:rStyle w:val="Hyperlink"/>
            <w:sz w:val="22"/>
            <w:szCs w:val="22"/>
          </w:rPr>
          <w:t>National Cyber Security Centre website</w:t>
        </w:r>
      </w:hyperlink>
      <w:r w:rsidRPr="00865B75">
        <w:rPr>
          <w:sz w:val="22"/>
          <w:szCs w:val="22"/>
        </w:rPr>
        <w:t>.</w:t>
      </w:r>
      <w:r>
        <w:t xml:space="preserve"> </w:t>
      </w:r>
    </w:p>
    <w:p w14:paraId="4D346282" w14:textId="77777777" w:rsidR="00D50B64" w:rsidRPr="00B87A87" w:rsidRDefault="00D50B64" w:rsidP="00143CE0">
      <w:pPr>
        <w:pStyle w:val="Sub-heading"/>
      </w:pPr>
      <w:r w:rsidRPr="00B87A87">
        <w:t>GDPR</w:t>
      </w:r>
    </w:p>
    <w:p w14:paraId="6DB3FFEC" w14:textId="77777777" w:rsidR="00BA3919" w:rsidRDefault="00D50B64" w:rsidP="00BA3919">
      <w:pPr>
        <w:jc w:val="both"/>
        <w:textAlignment w:val="baseline"/>
        <w:rPr>
          <w:sz w:val="22"/>
          <w:szCs w:val="22"/>
        </w:rPr>
      </w:pPr>
      <w:r w:rsidRPr="005A7185">
        <w:rPr>
          <w:sz w:val="22"/>
          <w:szCs w:val="22"/>
        </w:rPr>
        <w:t xml:space="preserve">An increasing number of schools are incurring unplanned costs, both direct and indirect, because of the increase in basic, and easily avoidable, data protection incidents and poorly managed school communications. This is combined with the increasing awareness of data subject of their right to bring a claim [on average in the order of £5,000 per claimant], directly against a school, leading to considerable potential risk to a school.  Our GPDR associate has created a briefing video which helps you understand the changing risk to your school and employ some basic strategies and resources to help mitigate them and protect your school against unplanned costs. If you would like access to this briefing, please contact </w:t>
      </w:r>
      <w:hyperlink r:id="rId15" w:history="1">
        <w:r w:rsidRPr="005A7185">
          <w:rPr>
            <w:sz w:val="22"/>
            <w:szCs w:val="22"/>
            <w:u w:val="single"/>
          </w:rPr>
          <w:t>carly.quickcrockford@junipereducation.org</w:t>
        </w:r>
      </w:hyperlink>
      <w:r>
        <w:rPr>
          <w:sz w:val="22"/>
          <w:szCs w:val="22"/>
        </w:rPr>
        <w:t xml:space="preserve"> </w:t>
      </w:r>
    </w:p>
    <w:p w14:paraId="2D6DF3C0" w14:textId="77777777" w:rsidR="00D50B64" w:rsidRPr="00BA3919" w:rsidRDefault="00BA3919" w:rsidP="00BA3919">
      <w:pPr>
        <w:suppressAutoHyphens w:val="0"/>
        <w:spacing w:before="0" w:after="0" w:line="240" w:lineRule="auto"/>
        <w:rPr>
          <w:sz w:val="22"/>
          <w:szCs w:val="22"/>
        </w:rPr>
      </w:pPr>
      <w:r>
        <w:rPr>
          <w:sz w:val="22"/>
          <w:szCs w:val="22"/>
        </w:rPr>
        <w:br w:type="page"/>
      </w:r>
      <w:r w:rsidR="00D50B64">
        <w:rPr>
          <w:rFonts w:eastAsia="Arial Unicode MS"/>
          <w:b/>
          <w:color w:val="3C3060"/>
          <w:sz w:val="40"/>
          <w:szCs w:val="40"/>
        </w:rPr>
        <w:lastRenderedPageBreak/>
        <w:t>USEFUL LINKS</w:t>
      </w:r>
    </w:p>
    <w:p w14:paraId="6E2CDFB1" w14:textId="77777777" w:rsidR="00D50B64" w:rsidRPr="00B87A87" w:rsidRDefault="00D50B64" w:rsidP="00143CE0">
      <w:pPr>
        <w:pStyle w:val="Sub-heading"/>
      </w:pPr>
      <w:bookmarkStart w:id="1" w:name="_Hlk98926574"/>
      <w:r w:rsidRPr="00B87A87">
        <w:t>ACADEMY TRUST HANDBOOK</w:t>
      </w:r>
    </w:p>
    <w:bookmarkEnd w:id="1"/>
    <w:p w14:paraId="4A8E8C6D" w14:textId="77777777" w:rsidR="00D50B64" w:rsidRDefault="00D50B64" w:rsidP="00D50B64">
      <w:pPr>
        <w:spacing w:line="276" w:lineRule="auto"/>
        <w:rPr>
          <w:sz w:val="22"/>
          <w:szCs w:val="22"/>
        </w:rPr>
      </w:pPr>
      <w:r>
        <w:rPr>
          <w:sz w:val="22"/>
          <w:szCs w:val="22"/>
        </w:rPr>
        <w:t>The Academy trust handbook 202</w:t>
      </w:r>
      <w:r w:rsidR="00B87A87">
        <w:rPr>
          <w:sz w:val="22"/>
          <w:szCs w:val="22"/>
        </w:rPr>
        <w:t>2</w:t>
      </w:r>
      <w:r>
        <w:rPr>
          <w:sz w:val="22"/>
          <w:szCs w:val="22"/>
        </w:rPr>
        <w:t xml:space="preserve"> is effective from September 202</w:t>
      </w:r>
      <w:r w:rsidR="00B87A87">
        <w:rPr>
          <w:sz w:val="22"/>
          <w:szCs w:val="22"/>
        </w:rPr>
        <w:t>2</w:t>
      </w:r>
      <w:r>
        <w:rPr>
          <w:sz w:val="22"/>
          <w:szCs w:val="22"/>
        </w:rPr>
        <w:t>.  Trustees should ensure that they have read this document and noted any changes to ensure any new requirements are adhered to.</w:t>
      </w:r>
    </w:p>
    <w:p w14:paraId="59AE06A4" w14:textId="77777777" w:rsidR="00B87A87" w:rsidRPr="00B87A87" w:rsidRDefault="00000000" w:rsidP="00D50B64">
      <w:pPr>
        <w:spacing w:line="276" w:lineRule="auto"/>
        <w:rPr>
          <w:sz w:val="24"/>
        </w:rPr>
      </w:pPr>
      <w:hyperlink r:id="rId16" w:history="1">
        <w:r w:rsidR="00B87A87" w:rsidRPr="00B87A87">
          <w:rPr>
            <w:rStyle w:val="Hyperlink"/>
            <w:sz w:val="22"/>
            <w:szCs w:val="26"/>
          </w:rPr>
          <w:t>ATH 2022 (publishing.service.gov.uk)</w:t>
        </w:r>
      </w:hyperlink>
      <w:r w:rsidR="00B87A87" w:rsidRPr="00B87A87">
        <w:rPr>
          <w:sz w:val="22"/>
          <w:szCs w:val="26"/>
        </w:rPr>
        <w:t xml:space="preserve"> </w:t>
      </w:r>
    </w:p>
    <w:p w14:paraId="0441A1A4" w14:textId="77777777" w:rsidR="00D50B64" w:rsidRPr="00B87A87" w:rsidRDefault="00D50B64" w:rsidP="00143CE0">
      <w:pPr>
        <w:pStyle w:val="Sub-heading"/>
      </w:pPr>
      <w:r w:rsidRPr="00B87A87">
        <w:t>INTERNAL SCRUTINY IN ACADEMY TRUSTS</w:t>
      </w:r>
    </w:p>
    <w:p w14:paraId="64E2BECF" w14:textId="77777777" w:rsidR="00D50B64" w:rsidRPr="002D0E58" w:rsidRDefault="00D50B64" w:rsidP="00D50B64">
      <w:pPr>
        <w:spacing w:line="276" w:lineRule="auto"/>
        <w:rPr>
          <w:sz w:val="22"/>
          <w:szCs w:val="22"/>
        </w:rPr>
      </w:pPr>
      <w:r w:rsidRPr="002D0E58">
        <w:rPr>
          <w:sz w:val="22"/>
          <w:szCs w:val="22"/>
        </w:rPr>
        <w:t>This good practice guide provides guidance for trustees, audit and risk committees, accounting officers, and chief financial officers (CFOs) in academy trusts.</w:t>
      </w:r>
    </w:p>
    <w:p w14:paraId="69BEE7CF" w14:textId="77777777" w:rsidR="00AE6D8E" w:rsidRPr="00D50B64" w:rsidRDefault="00000000" w:rsidP="00D50B64">
      <w:hyperlink r:id="rId17" w:anchor="annex-1" w:history="1">
        <w:r w:rsidR="00D50B64" w:rsidRPr="002D0E58">
          <w:rPr>
            <w:rStyle w:val="Hyperlink"/>
            <w:sz w:val="22"/>
            <w:szCs w:val="26"/>
          </w:rPr>
          <w:t>Internal scrutiny in academy trusts - GOV.UK (www.gov.uk)</w:t>
        </w:r>
      </w:hyperlink>
    </w:p>
    <w:sectPr w:rsidR="00AE6D8E" w:rsidRPr="00D50B64" w:rsidSect="000136CD">
      <w:footerReference w:type="default" r:id="rId18"/>
      <w:headerReference w:type="first" r:id="rId19"/>
      <w:footerReference w:type="first" r:id="rId20"/>
      <w:pgSz w:w="16840" w:h="11900" w:orient="landscape"/>
      <w:pgMar w:top="1440" w:right="907" w:bottom="1823" w:left="907" w:header="709" w:footer="8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2FEE" w14:textId="77777777" w:rsidR="00690D6E" w:rsidRDefault="00690D6E" w:rsidP="00B626E2">
      <w:r>
        <w:separator/>
      </w:r>
    </w:p>
  </w:endnote>
  <w:endnote w:type="continuationSeparator" w:id="0">
    <w:p w14:paraId="5AEE8BA7" w14:textId="77777777" w:rsidR="00690D6E" w:rsidRDefault="00690D6E" w:rsidP="00B626E2">
      <w:r>
        <w:continuationSeparator/>
      </w:r>
    </w:p>
  </w:endnote>
  <w:endnote w:type="continuationNotice" w:id="1">
    <w:p w14:paraId="4D3AF957" w14:textId="77777777" w:rsidR="00690D6E" w:rsidRDefault="00690D6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aux Next">
    <w:altName w:val="Calibri"/>
    <w:panose1 w:val="00000000000000000000"/>
    <w:charset w:val="4D"/>
    <w:family w:val="auto"/>
    <w:notTrueType/>
    <w:pitch w:val="variable"/>
    <w:sig w:usb0="A000006F" w:usb1="4000204B"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Aaux Next Regular">
    <w:altName w:val="Calibri"/>
    <w:panose1 w:val="00000000000000000000"/>
    <w:charset w:val="00"/>
    <w:family w:val="modern"/>
    <w:notTrueType/>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Zona Pro">
    <w:altName w:val="Calibri"/>
    <w:panose1 w:val="00000000000000000000"/>
    <w:charset w:val="00"/>
    <w:family w:val="modern"/>
    <w:notTrueType/>
    <w:pitch w:val="variable"/>
    <w:sig w:usb0="800000A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1F59" w14:textId="77777777" w:rsidR="000136CD" w:rsidRPr="001B442B" w:rsidRDefault="000136CD" w:rsidP="000136CD">
    <w:pPr>
      <w:pStyle w:val="Footer"/>
    </w:pPr>
    <w:r>
      <w:rPr>
        <w:noProof/>
      </w:rPr>
      <mc:AlternateContent>
        <mc:Choice Requires="wps">
          <w:drawing>
            <wp:anchor distT="45720" distB="45720" distL="114300" distR="114300" simplePos="0" relativeHeight="251658243" behindDoc="0" locked="0" layoutInCell="1" allowOverlap="1" wp14:anchorId="5793F918" wp14:editId="62C7F0D9">
              <wp:simplePos x="0" y="0"/>
              <wp:positionH relativeFrom="column">
                <wp:posOffset>-98121</wp:posOffset>
              </wp:positionH>
              <wp:positionV relativeFrom="paragraph">
                <wp:posOffset>44450</wp:posOffset>
              </wp:positionV>
              <wp:extent cx="4285753" cy="556591"/>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753" cy="556591"/>
                      </a:xfrm>
                      <a:prstGeom prst="rect">
                        <a:avLst/>
                      </a:prstGeom>
                      <a:noFill/>
                      <a:ln w="9525">
                        <a:noFill/>
                        <a:miter lim="800000"/>
                        <a:headEnd/>
                        <a:tailEnd/>
                      </a:ln>
                    </wps:spPr>
                    <wps:txbx>
                      <w:txbxContent>
                        <w:p w14:paraId="2EE30F9A" w14:textId="77777777" w:rsidR="000136CD" w:rsidRPr="00FB0365" w:rsidRDefault="000136CD" w:rsidP="000136CD">
                          <w:pPr>
                            <w:spacing w:line="240" w:lineRule="auto"/>
                            <w:rPr>
                              <w:sz w:val="18"/>
                              <w:szCs w:val="22"/>
                            </w:rPr>
                          </w:pPr>
                          <w:r w:rsidRPr="00FB0365">
                            <w:rPr>
                              <w:rFonts w:cs="Zona Pro"/>
                              <w:color w:val="696969" w:themeColor="accent5"/>
                              <w:sz w:val="12"/>
                              <w:szCs w:val="12"/>
                            </w:rPr>
                            <w:t>© 2020 Juniper Education. All rights reserved. This publication is the intellectual property of Juniper Education and no part of it may be reproduced, stored or transmitted by any means without prior permission of Juniper Education. Any unauthorised use for commercial gain will constitute an infringement of copyright.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3F918" id="_x0000_t202" coordsize="21600,21600" o:spt="202" path="m,l,21600r21600,l21600,xe">
              <v:stroke joinstyle="miter"/>
              <v:path gradientshapeok="t" o:connecttype="rect"/>
            </v:shapetype>
            <v:shape id="Text Box 2" o:spid="_x0000_s1026" type="#_x0000_t202" style="position:absolute;margin-left:-7.75pt;margin-top:3.5pt;width:337.45pt;height:43.8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Sw+AEAAM0DAAAOAAAAZHJzL2Uyb0RvYy54bWysU8tu2zAQvBfoPxC817JdK7EFy0GaNEWB&#10;9AGk/QCaoiyiJJdd0pbcr++SchyjvRXVgeBqydmd2eH6ZrCGHRQGDa7ms8mUM+UkNNrtav7928Ob&#10;JWchCtcIA07V/KgCv9m8frXufaXm0IFpFDICcaHqfc27GH1VFEF2yoowAa8cJVtAKyKFuCsaFD2h&#10;W1PMp9OrogdsPIJUIdDf+zHJNxm/bZWMX9o2qMhMzam3mFfM6zatxWYtqh0K32l5akP8QxdWaEdF&#10;z1D3Igq2R/0XlNUSIUAbJxJsAW2rpcociM1s+gebp054lbmQOMGfZQr/D1Z+Pjz5r8ji8A4GGmAm&#10;EfwjyB+BObjrhNupW0ToOyUaKjxLkhW9D9XpapI6VCGBbPtP0NCQxT5CBhpatEkV4skInQZwPIuu&#10;hsgk/VzMl+V1+ZYzSbmyvCpXYwlRPd/2GOIHBZalTc2RhprRxeExxNSNqJ6PpGIOHrQxebDGsb7m&#10;q3Je5gsXGasj+c5oW/PlNH2jExLJ967Jl6PQZtxTAeNOrBPRkXIctgMdTOy30ByJP8LoL3oPtOkA&#10;f3HWk7dqHn7uBSrOzEdHGq5mi0UyYw4W5fWcArzMbC8zwkmCqnnkbNzexWzgkestad3qLMNLJ6de&#10;yTNZnZO/kykv43zq5RVufgMAAP//AwBQSwMEFAAGAAgAAAAhAFGlMT/dAAAACAEAAA8AAABkcnMv&#10;ZG93bnJldi54bWxMj81OwzAQhO9IvIO1SNxapyhpScimQiCuIMqPxM2Nt0lEvI5itwlvz3Kix9GM&#10;Zr4pt7Pr1YnG0HlGWC0TUMS1tx03CO9vT4tbUCEatqb3TAg/FGBbXV6UprB+4lc67WKjpIRDYRDa&#10;GIdC61C35ExY+oFYvIMfnYkix0bb0UxS7np9kyRr7UzHstCagR5aqr93R4fw8Xz4+kyTl+bRZcPk&#10;50SzyzXi9dV8fwcq0hz/w/CHL+hQCdPeH9kG1SMsVlkmUYSNXBJ/neUpqD1Cnm5AV6U+P1D9AgAA&#10;//8DAFBLAQItABQABgAIAAAAIQC2gziS/gAAAOEBAAATAAAAAAAAAAAAAAAAAAAAAABbQ29udGVu&#10;dF9UeXBlc10ueG1sUEsBAi0AFAAGAAgAAAAhADj9If/WAAAAlAEAAAsAAAAAAAAAAAAAAAAALwEA&#10;AF9yZWxzLy5yZWxzUEsBAi0AFAAGAAgAAAAhAFEfNLD4AQAAzQMAAA4AAAAAAAAAAAAAAAAALgIA&#10;AGRycy9lMm9Eb2MueG1sUEsBAi0AFAAGAAgAAAAhAFGlMT/dAAAACAEAAA8AAAAAAAAAAAAAAAAA&#10;UgQAAGRycy9kb3ducmV2LnhtbFBLBQYAAAAABAAEAPMAAABcBQAAAAA=&#10;" filled="f" stroked="f">
              <v:textbox>
                <w:txbxContent>
                  <w:p w14:paraId="2EE30F9A" w14:textId="77777777" w:rsidR="000136CD" w:rsidRPr="00FB0365" w:rsidRDefault="000136CD" w:rsidP="000136CD">
                    <w:pPr>
                      <w:spacing w:line="240" w:lineRule="auto"/>
                      <w:rPr>
                        <w:sz w:val="18"/>
                        <w:szCs w:val="22"/>
                      </w:rPr>
                    </w:pPr>
                    <w:r w:rsidRPr="00FB0365">
                      <w:rPr>
                        <w:rFonts w:cs="Zona Pro"/>
                        <w:color w:val="696969" w:themeColor="accent5"/>
                        <w:sz w:val="12"/>
                        <w:szCs w:val="12"/>
                      </w:rPr>
                      <w:t xml:space="preserve">© 2020 Juniper Education. All rights reserved. This publication is the intellectual property of Juniper Education and no part of it may be reproduced, </w:t>
                    </w:r>
                    <w:proofErr w:type="gramStart"/>
                    <w:r w:rsidRPr="00FB0365">
                      <w:rPr>
                        <w:rFonts w:cs="Zona Pro"/>
                        <w:color w:val="696969" w:themeColor="accent5"/>
                        <w:sz w:val="12"/>
                        <w:szCs w:val="12"/>
                      </w:rPr>
                      <w:t>stored</w:t>
                    </w:r>
                    <w:proofErr w:type="gramEnd"/>
                    <w:r w:rsidRPr="00FB0365">
                      <w:rPr>
                        <w:rFonts w:cs="Zona Pro"/>
                        <w:color w:val="696969" w:themeColor="accent5"/>
                        <w:sz w:val="12"/>
                        <w:szCs w:val="12"/>
                      </w:rPr>
                      <w:t xml:space="preserve"> or transmitted by any means without prior permission of Juniper Education. Any unauthorised use for commercial gain will constitute an infringement of copyright.</w:t>
                    </w:r>
                  </w:p>
                </w:txbxContent>
              </v:textbox>
            </v:shape>
          </w:pict>
        </mc:Fallback>
      </mc:AlternateContent>
    </w:r>
    <w:r w:rsidRPr="001B442B">
      <w:t>0345 200 8600</w:t>
    </w:r>
    <w:r>
      <w:t xml:space="preserve"> |</w:t>
    </w:r>
    <w:r w:rsidRPr="001B442B">
      <w:t>enquiries@junipereducation.org</w:t>
    </w:r>
    <w:r>
      <w:t xml:space="preserve"> | </w:t>
    </w:r>
    <w:r w:rsidRPr="001B442B">
      <w:t>junipereducation.org</w:t>
    </w:r>
  </w:p>
  <w:p w14:paraId="276387EE" w14:textId="77777777" w:rsidR="00C47C8E" w:rsidRPr="00C842DE" w:rsidRDefault="007C46F8" w:rsidP="00C842DE">
    <w:pPr>
      <w:pStyle w:val="Footer"/>
    </w:pPr>
    <w:r>
      <w:rPr>
        <w:noProof/>
        <w14:ligatures w14:val="none"/>
      </w:rPr>
      <w:drawing>
        <wp:anchor distT="0" distB="0" distL="114300" distR="114300" simplePos="0" relativeHeight="251658241" behindDoc="1" locked="1" layoutInCell="1" allowOverlap="1" wp14:anchorId="2B6F9A96" wp14:editId="738A3997">
          <wp:simplePos x="0" y="0"/>
          <wp:positionH relativeFrom="column">
            <wp:posOffset>-558800</wp:posOffset>
          </wp:positionH>
          <wp:positionV relativeFrom="page">
            <wp:posOffset>6484620</wp:posOffset>
          </wp:positionV>
          <wp:extent cx="10659600" cy="1076400"/>
          <wp:effectExtent l="0" t="0" r="0" b="317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iper A4.jpg"/>
                  <pic:cNvPicPr/>
                </pic:nvPicPr>
                <pic:blipFill>
                  <a:blip r:embed="rId1">
                    <a:extLst>
                      <a:ext uri="{28A0092B-C50C-407E-A947-70E740481C1C}">
                        <a14:useLocalDpi xmlns:a14="http://schemas.microsoft.com/office/drawing/2010/main" val="0"/>
                      </a:ext>
                    </a:extLst>
                  </a:blip>
                  <a:stretch>
                    <a:fillRect/>
                  </a:stretch>
                </pic:blipFill>
                <pic:spPr>
                  <a:xfrm>
                    <a:off x="0" y="0"/>
                    <a:ext cx="106596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12D6" w14:textId="77777777" w:rsidR="000136CD" w:rsidRPr="001B442B" w:rsidRDefault="000136CD" w:rsidP="000136CD">
    <w:pPr>
      <w:pStyle w:val="Footer"/>
    </w:pPr>
    <w:r>
      <w:rPr>
        <w:noProof/>
      </w:rPr>
      <mc:AlternateContent>
        <mc:Choice Requires="wps">
          <w:drawing>
            <wp:anchor distT="45720" distB="45720" distL="114300" distR="114300" simplePos="0" relativeHeight="251658242" behindDoc="0" locked="0" layoutInCell="1" allowOverlap="1" wp14:anchorId="6234C0CA" wp14:editId="1CD4E85E">
              <wp:simplePos x="0" y="0"/>
              <wp:positionH relativeFrom="column">
                <wp:posOffset>-98121</wp:posOffset>
              </wp:positionH>
              <wp:positionV relativeFrom="paragraph">
                <wp:posOffset>44450</wp:posOffset>
              </wp:positionV>
              <wp:extent cx="4285753" cy="55659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753" cy="556591"/>
                      </a:xfrm>
                      <a:prstGeom prst="rect">
                        <a:avLst/>
                      </a:prstGeom>
                      <a:noFill/>
                      <a:ln w="9525">
                        <a:noFill/>
                        <a:miter lim="800000"/>
                        <a:headEnd/>
                        <a:tailEnd/>
                      </a:ln>
                    </wps:spPr>
                    <wps:txbx>
                      <w:txbxContent>
                        <w:p w14:paraId="6F135873" w14:textId="77777777" w:rsidR="000136CD" w:rsidRPr="00FB0365" w:rsidRDefault="000136CD" w:rsidP="000136CD">
                          <w:pPr>
                            <w:spacing w:line="240" w:lineRule="auto"/>
                            <w:rPr>
                              <w:sz w:val="18"/>
                              <w:szCs w:val="22"/>
                            </w:rPr>
                          </w:pPr>
                          <w:r w:rsidRPr="00FB0365">
                            <w:rPr>
                              <w:rFonts w:cs="Zona Pro"/>
                              <w:color w:val="696969" w:themeColor="accent5"/>
                              <w:sz w:val="12"/>
                              <w:szCs w:val="12"/>
                            </w:rPr>
                            <w:t>© 2020 Juniper Education. All rights reserved. This publication is the intellectual property of Juniper Education and no part of it may be reproduced, stored or transmitted by any means without prior permission of Juniper Education. Any unauthorised use for commercial gain will constitute an infringement of copyright.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4C0CA" id="_x0000_t202" coordsize="21600,21600" o:spt="202" path="m,l,21600r21600,l21600,xe">
              <v:stroke joinstyle="miter"/>
              <v:path gradientshapeok="t" o:connecttype="rect"/>
            </v:shapetype>
            <v:shape id="_x0000_s1027" type="#_x0000_t202" style="position:absolute;margin-left:-7.75pt;margin-top:3.5pt;width:337.45pt;height:43.8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dj+wEAANQDAAAOAAAAZHJzL2Uyb0RvYy54bWysU9uO2yAQfa/Uf0C8N3bceDex4qy2u92q&#10;0vYibfsBGOMYFRgKJHb69R2wNxu1b1X9gBjGnJlz5rC9GbUiR+G8BFPT5SKnRBgOrTT7mn7/9vBm&#10;TYkPzLRMgRE1PQlPb3avX20HW4kCelCtcARBjK8GW9M+BFtlmee90MwvwAqDyQ6cZgFDt89axwZE&#10;1yor8vwqG8C11gEX3uPp/ZSku4TfdYKHL13nRSCqpthbSKtLaxPXbLdl1d4x20s+t8H+oQvNpMGi&#10;Z6h7Fhg5OPkXlJbcgYcuLDjoDLpOcpE4IJtl/gebp55ZkbigON6eZfL/D5Z/Pj7Zr46E8R2MOMBE&#10;wttH4D88MXDXM7MXt87B0AvWYuFllCwbrK/mq1FqX/kI0gyfoMUhs0OABDR2TkdVkCdBdBzA6Sy6&#10;GAPheLgq1uV1+ZYSjrmyvCo3UwlWPd+2zocPAjSJm5o6HGpCZ8dHH2I3rHr+JRYz8CCVSoNVhgw1&#10;3ZRFmS5cZLQM6DsldU3XefwmJ0SS702bLgcm1bTHAsrMrCPRiXIYm5HIdpYkitBAe0IZHEw2w2eB&#10;mx7cL0oGtFhN/c8Dc4IS9dGglJvlahU9mYJVeV1g4C4zzWWGGY5QNQ2UTNu7kHw8Ub5FyTuZ1Hjp&#10;ZG4ZrZNEmm0evXkZp79eHuPuNwAAAP//AwBQSwMEFAAGAAgAAAAhAFGlMT/dAAAACAEAAA8AAABk&#10;cnMvZG93bnJldi54bWxMj81OwzAQhO9IvIO1SNxapyhpScimQiCuIMqPxM2Nt0lEvI5itwlvz3Ki&#10;x9GMZr4pt7Pr1YnG0HlGWC0TUMS1tx03CO9vT4tbUCEatqb3TAg/FGBbXV6UprB+4lc67WKjpIRD&#10;YRDaGIdC61C35ExY+oFYvIMfnYkix0bb0UxS7np9kyRr7UzHstCagR5aqr93R4fw8Xz4+kyTl+bR&#10;ZcPk50SzyzXi9dV8fwcq0hz/w/CHL+hQCdPeH9kG1SMsVlkmUYSNXBJ/neUpqD1Cnm5AV6U+P1D9&#10;AgAA//8DAFBLAQItABQABgAIAAAAIQC2gziS/gAAAOEBAAATAAAAAAAAAAAAAAAAAAAAAABbQ29u&#10;dGVudF9UeXBlc10ueG1sUEsBAi0AFAAGAAgAAAAhADj9If/WAAAAlAEAAAsAAAAAAAAAAAAAAAAA&#10;LwEAAF9yZWxzLy5yZWxzUEsBAi0AFAAGAAgAAAAhAL2Q52P7AQAA1AMAAA4AAAAAAAAAAAAAAAAA&#10;LgIAAGRycy9lMm9Eb2MueG1sUEsBAi0AFAAGAAgAAAAhAFGlMT/dAAAACAEAAA8AAAAAAAAAAAAA&#10;AAAAVQQAAGRycy9kb3ducmV2LnhtbFBLBQYAAAAABAAEAPMAAABfBQAAAAA=&#10;" filled="f" stroked="f">
              <v:textbox>
                <w:txbxContent>
                  <w:p w14:paraId="6F135873" w14:textId="77777777" w:rsidR="000136CD" w:rsidRPr="00FB0365" w:rsidRDefault="000136CD" w:rsidP="000136CD">
                    <w:pPr>
                      <w:spacing w:line="240" w:lineRule="auto"/>
                      <w:rPr>
                        <w:sz w:val="18"/>
                        <w:szCs w:val="22"/>
                      </w:rPr>
                    </w:pPr>
                    <w:r w:rsidRPr="00FB0365">
                      <w:rPr>
                        <w:rFonts w:cs="Zona Pro"/>
                        <w:color w:val="696969" w:themeColor="accent5"/>
                        <w:sz w:val="12"/>
                        <w:szCs w:val="12"/>
                      </w:rPr>
                      <w:t xml:space="preserve">© 2020 Juniper Education. All rights reserved. This publication is the intellectual property of Juniper Education and no part of it may be reproduced, </w:t>
                    </w:r>
                    <w:proofErr w:type="gramStart"/>
                    <w:r w:rsidRPr="00FB0365">
                      <w:rPr>
                        <w:rFonts w:cs="Zona Pro"/>
                        <w:color w:val="696969" w:themeColor="accent5"/>
                        <w:sz w:val="12"/>
                        <w:szCs w:val="12"/>
                      </w:rPr>
                      <w:t>stored</w:t>
                    </w:r>
                    <w:proofErr w:type="gramEnd"/>
                    <w:r w:rsidRPr="00FB0365">
                      <w:rPr>
                        <w:rFonts w:cs="Zona Pro"/>
                        <w:color w:val="696969" w:themeColor="accent5"/>
                        <w:sz w:val="12"/>
                        <w:szCs w:val="12"/>
                      </w:rPr>
                      <w:t xml:space="preserve"> or transmitted by any means without prior permission of Juniper Education. Any unauthorised use for commercial gain will constitute an infringement of copyright.</w:t>
                    </w:r>
                  </w:p>
                </w:txbxContent>
              </v:textbox>
            </v:shape>
          </w:pict>
        </mc:Fallback>
      </mc:AlternateContent>
    </w:r>
    <w:r w:rsidRPr="001B442B">
      <w:t>0345 200 8600</w:t>
    </w:r>
    <w:r>
      <w:t xml:space="preserve"> |</w:t>
    </w:r>
    <w:r w:rsidRPr="001B442B">
      <w:t>enquiries@junipereducation.org</w:t>
    </w:r>
    <w:r>
      <w:t xml:space="preserve"> | </w:t>
    </w:r>
    <w:r w:rsidRPr="001B442B">
      <w:t>junipereducation.org</w:t>
    </w:r>
  </w:p>
  <w:p w14:paraId="279049D3" w14:textId="77777777" w:rsidR="000136CD" w:rsidRDefault="00013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0A6C" w14:textId="77777777" w:rsidR="00690D6E" w:rsidRDefault="00690D6E" w:rsidP="00B626E2">
      <w:r>
        <w:separator/>
      </w:r>
    </w:p>
  </w:footnote>
  <w:footnote w:type="continuationSeparator" w:id="0">
    <w:p w14:paraId="5BF48848" w14:textId="77777777" w:rsidR="00690D6E" w:rsidRDefault="00690D6E" w:rsidP="00B626E2">
      <w:r>
        <w:continuationSeparator/>
      </w:r>
    </w:p>
  </w:footnote>
  <w:footnote w:type="continuationNotice" w:id="1">
    <w:p w14:paraId="27E39877" w14:textId="77777777" w:rsidR="00690D6E" w:rsidRDefault="00690D6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0A22" w14:textId="77777777" w:rsidR="00C47C8E" w:rsidRDefault="005353C3" w:rsidP="00B626E2">
    <w:r>
      <w:rPr>
        <w:noProof/>
        <w14:ligatures w14:val="none"/>
      </w:rPr>
      <w:drawing>
        <wp:anchor distT="0" distB="0" distL="114300" distR="114300" simplePos="0" relativeHeight="251658240" behindDoc="1" locked="1" layoutInCell="1" allowOverlap="1" wp14:anchorId="18D0528A" wp14:editId="0AFB3534">
          <wp:simplePos x="0" y="0"/>
          <wp:positionH relativeFrom="column">
            <wp:posOffset>-562610</wp:posOffset>
          </wp:positionH>
          <wp:positionV relativeFrom="page">
            <wp:posOffset>0</wp:posOffset>
          </wp:positionV>
          <wp:extent cx="7524000" cy="885600"/>
          <wp:effectExtent l="0" t="0" r="0" b="381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uniper A42.jpg"/>
                  <pic:cNvPicPr/>
                </pic:nvPicPr>
                <pic:blipFill>
                  <a:blip r:embed="rId1">
                    <a:extLst>
                      <a:ext uri="{28A0092B-C50C-407E-A947-70E740481C1C}">
                        <a14:useLocalDpi xmlns:a14="http://schemas.microsoft.com/office/drawing/2010/main" val="0"/>
                      </a:ext>
                    </a:extLst>
                  </a:blip>
                  <a:stretch>
                    <a:fillRect/>
                  </a:stretch>
                </pic:blipFill>
                <pic:spPr>
                  <a:xfrm>
                    <a:off x="0" y="0"/>
                    <a:ext cx="7524000" cy="88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F5C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13C147A"/>
    <w:multiLevelType w:val="multilevel"/>
    <w:tmpl w:val="C7B851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8562F1"/>
    <w:multiLevelType w:val="hybridMultilevel"/>
    <w:tmpl w:val="FA96ED26"/>
    <w:lvl w:ilvl="0" w:tplc="72E07BCE">
      <w:start w:val="1"/>
      <w:numFmt w:val="bullet"/>
      <w:pStyle w:val="Bullets"/>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8640541">
    <w:abstractNumId w:val="2"/>
  </w:num>
  <w:num w:numId="2" w16cid:durableId="208079832">
    <w:abstractNumId w:val="0"/>
  </w:num>
  <w:num w:numId="3" w16cid:durableId="1386415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EE"/>
    <w:rsid w:val="00003402"/>
    <w:rsid w:val="00007519"/>
    <w:rsid w:val="000136CD"/>
    <w:rsid w:val="000311D2"/>
    <w:rsid w:val="00031FE4"/>
    <w:rsid w:val="0004082E"/>
    <w:rsid w:val="000518AF"/>
    <w:rsid w:val="00062F99"/>
    <w:rsid w:val="00071133"/>
    <w:rsid w:val="000B0852"/>
    <w:rsid w:val="000D5079"/>
    <w:rsid w:val="000F54D2"/>
    <w:rsid w:val="00101105"/>
    <w:rsid w:val="00104F93"/>
    <w:rsid w:val="00114A08"/>
    <w:rsid w:val="001226AF"/>
    <w:rsid w:val="001344F5"/>
    <w:rsid w:val="001360DB"/>
    <w:rsid w:val="00143C8C"/>
    <w:rsid w:val="00143CE0"/>
    <w:rsid w:val="0014700C"/>
    <w:rsid w:val="00177433"/>
    <w:rsid w:val="0017793A"/>
    <w:rsid w:val="00181EFE"/>
    <w:rsid w:val="00186C35"/>
    <w:rsid w:val="001A0447"/>
    <w:rsid w:val="001A5318"/>
    <w:rsid w:val="001B442B"/>
    <w:rsid w:val="001E374E"/>
    <w:rsid w:val="001F05A8"/>
    <w:rsid w:val="001F34D7"/>
    <w:rsid w:val="001F6614"/>
    <w:rsid w:val="0020652D"/>
    <w:rsid w:val="00245134"/>
    <w:rsid w:val="0026089D"/>
    <w:rsid w:val="00267916"/>
    <w:rsid w:val="0027036D"/>
    <w:rsid w:val="00272763"/>
    <w:rsid w:val="0029570A"/>
    <w:rsid w:val="0029701E"/>
    <w:rsid w:val="002D4514"/>
    <w:rsid w:val="002F041F"/>
    <w:rsid w:val="00310D6E"/>
    <w:rsid w:val="00314B55"/>
    <w:rsid w:val="0033397A"/>
    <w:rsid w:val="0035300E"/>
    <w:rsid w:val="00375967"/>
    <w:rsid w:val="00383937"/>
    <w:rsid w:val="00387FB1"/>
    <w:rsid w:val="00387FD7"/>
    <w:rsid w:val="003A298A"/>
    <w:rsid w:val="003B04C6"/>
    <w:rsid w:val="003E0107"/>
    <w:rsid w:val="004810B6"/>
    <w:rsid w:val="00496E0C"/>
    <w:rsid w:val="004B58E5"/>
    <w:rsid w:val="004C2D31"/>
    <w:rsid w:val="004C60A5"/>
    <w:rsid w:val="004E2A97"/>
    <w:rsid w:val="005353C3"/>
    <w:rsid w:val="0055132E"/>
    <w:rsid w:val="0056090A"/>
    <w:rsid w:val="00562CB9"/>
    <w:rsid w:val="00582D6F"/>
    <w:rsid w:val="005A6D20"/>
    <w:rsid w:val="005B0203"/>
    <w:rsid w:val="005C3CEE"/>
    <w:rsid w:val="005C7850"/>
    <w:rsid w:val="005D150F"/>
    <w:rsid w:val="005D6FA2"/>
    <w:rsid w:val="005E5D8F"/>
    <w:rsid w:val="005F200C"/>
    <w:rsid w:val="005F6148"/>
    <w:rsid w:val="006110EF"/>
    <w:rsid w:val="00615361"/>
    <w:rsid w:val="00650A99"/>
    <w:rsid w:val="00656677"/>
    <w:rsid w:val="006779E1"/>
    <w:rsid w:val="00680A3D"/>
    <w:rsid w:val="00690D6E"/>
    <w:rsid w:val="006A16A9"/>
    <w:rsid w:val="006B0972"/>
    <w:rsid w:val="006C58D9"/>
    <w:rsid w:val="00703C49"/>
    <w:rsid w:val="00706C96"/>
    <w:rsid w:val="0071335A"/>
    <w:rsid w:val="00724302"/>
    <w:rsid w:val="007346E6"/>
    <w:rsid w:val="00766B46"/>
    <w:rsid w:val="0079077F"/>
    <w:rsid w:val="00795A57"/>
    <w:rsid w:val="007B3D89"/>
    <w:rsid w:val="007B3FB6"/>
    <w:rsid w:val="007B6AA8"/>
    <w:rsid w:val="007C46F8"/>
    <w:rsid w:val="007D1007"/>
    <w:rsid w:val="007E18C0"/>
    <w:rsid w:val="007F18CD"/>
    <w:rsid w:val="008010C9"/>
    <w:rsid w:val="00833C7B"/>
    <w:rsid w:val="00852879"/>
    <w:rsid w:val="00856B32"/>
    <w:rsid w:val="00861033"/>
    <w:rsid w:val="00873786"/>
    <w:rsid w:val="008810F8"/>
    <w:rsid w:val="00897A4B"/>
    <w:rsid w:val="008F0AA6"/>
    <w:rsid w:val="008F3D55"/>
    <w:rsid w:val="008F7D9F"/>
    <w:rsid w:val="00937B05"/>
    <w:rsid w:val="00956AB0"/>
    <w:rsid w:val="00957E9C"/>
    <w:rsid w:val="009615AE"/>
    <w:rsid w:val="009740B8"/>
    <w:rsid w:val="00996D8C"/>
    <w:rsid w:val="009B1C13"/>
    <w:rsid w:val="009C59CD"/>
    <w:rsid w:val="009D1DB8"/>
    <w:rsid w:val="009E2973"/>
    <w:rsid w:val="009E688A"/>
    <w:rsid w:val="009F322A"/>
    <w:rsid w:val="009F5539"/>
    <w:rsid w:val="00A01079"/>
    <w:rsid w:val="00A12104"/>
    <w:rsid w:val="00A16EF9"/>
    <w:rsid w:val="00A22F93"/>
    <w:rsid w:val="00A3103B"/>
    <w:rsid w:val="00A33536"/>
    <w:rsid w:val="00A631E9"/>
    <w:rsid w:val="00AB7D94"/>
    <w:rsid w:val="00AC2A92"/>
    <w:rsid w:val="00AC2F3F"/>
    <w:rsid w:val="00AD7C7C"/>
    <w:rsid w:val="00AE29D3"/>
    <w:rsid w:val="00AE6632"/>
    <w:rsid w:val="00AE6D8E"/>
    <w:rsid w:val="00B449C8"/>
    <w:rsid w:val="00B51BFD"/>
    <w:rsid w:val="00B626E2"/>
    <w:rsid w:val="00B87A87"/>
    <w:rsid w:val="00BA3919"/>
    <w:rsid w:val="00BB2FC0"/>
    <w:rsid w:val="00BC4175"/>
    <w:rsid w:val="00BE3AB2"/>
    <w:rsid w:val="00C01295"/>
    <w:rsid w:val="00C145BD"/>
    <w:rsid w:val="00C24A82"/>
    <w:rsid w:val="00C2762B"/>
    <w:rsid w:val="00C45E75"/>
    <w:rsid w:val="00C461D2"/>
    <w:rsid w:val="00C47C8E"/>
    <w:rsid w:val="00C623DF"/>
    <w:rsid w:val="00C63D3E"/>
    <w:rsid w:val="00C77FBC"/>
    <w:rsid w:val="00C842DE"/>
    <w:rsid w:val="00CA3927"/>
    <w:rsid w:val="00CD45DC"/>
    <w:rsid w:val="00CE1A0C"/>
    <w:rsid w:val="00CF4AD3"/>
    <w:rsid w:val="00D00C29"/>
    <w:rsid w:val="00D10F44"/>
    <w:rsid w:val="00D251CB"/>
    <w:rsid w:val="00D25229"/>
    <w:rsid w:val="00D417EB"/>
    <w:rsid w:val="00D42462"/>
    <w:rsid w:val="00D43EBA"/>
    <w:rsid w:val="00D50B64"/>
    <w:rsid w:val="00D7138E"/>
    <w:rsid w:val="00D93EFB"/>
    <w:rsid w:val="00DB090F"/>
    <w:rsid w:val="00DB3654"/>
    <w:rsid w:val="00DD54EC"/>
    <w:rsid w:val="00DF19DF"/>
    <w:rsid w:val="00DF7730"/>
    <w:rsid w:val="00E0218F"/>
    <w:rsid w:val="00E55060"/>
    <w:rsid w:val="00E60ACC"/>
    <w:rsid w:val="00E77C44"/>
    <w:rsid w:val="00E9136B"/>
    <w:rsid w:val="00E93AEE"/>
    <w:rsid w:val="00EA0D32"/>
    <w:rsid w:val="00EC2941"/>
    <w:rsid w:val="00EC4304"/>
    <w:rsid w:val="00ED06B3"/>
    <w:rsid w:val="00EE28C0"/>
    <w:rsid w:val="00EE65D4"/>
    <w:rsid w:val="00EF2C24"/>
    <w:rsid w:val="00F41443"/>
    <w:rsid w:val="00F5525F"/>
    <w:rsid w:val="00F77E16"/>
    <w:rsid w:val="00F87528"/>
    <w:rsid w:val="00FA0678"/>
    <w:rsid w:val="00FA40EE"/>
    <w:rsid w:val="00FC06B2"/>
    <w:rsid w:val="00FE7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7E697"/>
  <w15:chartTrackingRefBased/>
  <w15:docId w15:val="{0A00B3A2-74C4-40BC-A4F2-47E12A58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B64"/>
    <w:pPr>
      <w:suppressAutoHyphens/>
      <w:spacing w:before="160" w:after="160" w:line="250" w:lineRule="exact"/>
    </w:pPr>
    <w:rPr>
      <w:rFonts w:ascii="Franklin Gothic Book" w:hAnsi="Franklin Gothic Book" w:cs="Times New Roman (Body CS)"/>
      <w:sz w:val="20"/>
      <w14:ligatures w14:val="all"/>
    </w:rPr>
  </w:style>
  <w:style w:type="paragraph" w:styleId="Heading1">
    <w:name w:val="heading 1"/>
    <w:aliases w:val="Heading 20/25"/>
    <w:basedOn w:val="Normal"/>
    <w:next w:val="Normal"/>
    <w:link w:val="Heading1Char"/>
    <w:uiPriority w:val="9"/>
    <w:rsid w:val="005D6FA2"/>
    <w:pPr>
      <w:keepNext/>
      <w:keepLines/>
      <w:spacing w:before="240" w:after="200" w:line="500" w:lineRule="exact"/>
      <w:outlineLvl w:val="0"/>
    </w:pPr>
    <w:rPr>
      <w:rFonts w:eastAsiaTheme="majorEastAsia" w:cs="Times New Roman (Headings CS)"/>
      <w:b/>
      <w:caps/>
      <w:color w:val="1C1238"/>
      <w:sz w:val="40"/>
      <w:szCs w:val="32"/>
    </w:rPr>
  </w:style>
  <w:style w:type="paragraph" w:styleId="Heading2">
    <w:name w:val="heading 2"/>
    <w:basedOn w:val="Normal"/>
    <w:next w:val="Normal"/>
    <w:link w:val="Heading2Char"/>
    <w:uiPriority w:val="9"/>
    <w:semiHidden/>
    <w:unhideWhenUsed/>
    <w:qFormat/>
    <w:rsid w:val="00FE7D9F"/>
    <w:pPr>
      <w:keepNext/>
      <w:keepLines/>
      <w:spacing w:before="40" w:after="0"/>
      <w:outlineLvl w:val="1"/>
    </w:pPr>
    <w:rPr>
      <w:rFonts w:asciiTheme="majorHAnsi" w:eastAsiaTheme="majorEastAsia" w:hAnsiTheme="majorHAnsi" w:cstheme="majorBidi"/>
      <w:color w:val="140C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autoRedefine/>
    <w:qFormat/>
    <w:rsid w:val="00957E9C"/>
    <w:rPr>
      <w:rFonts w:ascii="Franklin Gothic Medium" w:hAnsi="Franklin Gothic Medium"/>
      <w:b w:val="0"/>
    </w:rPr>
  </w:style>
  <w:style w:type="paragraph" w:styleId="Quote">
    <w:name w:val="Quote"/>
    <w:basedOn w:val="Normal"/>
    <w:next w:val="Normal"/>
    <w:link w:val="QuoteChar"/>
    <w:uiPriority w:val="29"/>
    <w:qFormat/>
    <w:rsid w:val="00650A99"/>
    <w:pPr>
      <w:framePr w:vSpace="100" w:wrap="around" w:vAnchor="text" w:hAnchor="text" w:y="1"/>
      <w:pBdr>
        <w:left w:val="single" w:sz="6" w:space="4" w:color="6E6299"/>
      </w:pBdr>
      <w:spacing w:before="100" w:after="100"/>
      <w:ind w:left="340" w:right="227"/>
    </w:pPr>
    <w:rPr>
      <w:i/>
      <w:iCs/>
      <w:color w:val="535353" w:themeColor="text1" w:themeTint="BF"/>
    </w:rPr>
  </w:style>
  <w:style w:type="character" w:styleId="Emphasis">
    <w:name w:val="Emphasis"/>
    <w:basedOn w:val="DefaultParagraphFont"/>
    <w:uiPriority w:val="20"/>
    <w:qFormat/>
    <w:rsid w:val="00957E9C"/>
    <w:rPr>
      <w:rFonts w:ascii="Franklin Gothic Book" w:hAnsi="Franklin Gothic Book"/>
      <w:b w:val="0"/>
      <w:i/>
      <w:iCs/>
    </w:rPr>
  </w:style>
  <w:style w:type="character" w:styleId="Strong">
    <w:name w:val="Strong"/>
    <w:basedOn w:val="DefaultParagraphFont"/>
    <w:uiPriority w:val="22"/>
    <w:qFormat/>
    <w:rsid w:val="00957E9C"/>
    <w:rPr>
      <w:rFonts w:ascii="Franklin Gothic Book" w:hAnsi="Franklin Gothic Book"/>
      <w:b/>
      <w:bCs/>
    </w:rPr>
  </w:style>
  <w:style w:type="character" w:customStyle="1" w:styleId="Heading1Char">
    <w:name w:val="Heading 1 Char"/>
    <w:aliases w:val="Heading 20/25 Char"/>
    <w:basedOn w:val="DefaultParagraphFont"/>
    <w:link w:val="Heading1"/>
    <w:uiPriority w:val="9"/>
    <w:rsid w:val="005D6FA2"/>
    <w:rPr>
      <w:rFonts w:ascii="Aaux Next" w:eastAsiaTheme="majorEastAsia" w:hAnsi="Aaux Next" w:cs="Times New Roman (Headings CS)"/>
      <w:b/>
      <w:caps/>
      <w:color w:val="1C1238"/>
      <w:sz w:val="40"/>
      <w:szCs w:val="32"/>
      <w14:ligatures w14:val="all"/>
    </w:rPr>
  </w:style>
  <w:style w:type="paragraph" w:styleId="NormalWeb">
    <w:name w:val="Normal (Web)"/>
    <w:basedOn w:val="Normal"/>
    <w:uiPriority w:val="99"/>
    <w:semiHidden/>
    <w:unhideWhenUsed/>
    <w:rsid w:val="00B626E2"/>
    <w:pPr>
      <w:spacing w:before="100" w:beforeAutospacing="1" w:after="100" w:afterAutospacing="1" w:line="240" w:lineRule="auto"/>
    </w:pPr>
    <w:rPr>
      <w:rFonts w:ascii="Times New Roman" w:eastAsia="Times New Roman" w:hAnsi="Times New Roman" w:cs="Times New Roman"/>
      <w:sz w:val="24"/>
      <w:lang w:eastAsia="en-GB"/>
      <w14:ligatures w14:val="none"/>
    </w:rPr>
  </w:style>
  <w:style w:type="paragraph" w:styleId="NoSpacing">
    <w:name w:val="No Spacing"/>
    <w:uiPriority w:val="1"/>
    <w:rsid w:val="00B626E2"/>
    <w:rPr>
      <w:rFonts w:ascii="Aaux Next" w:hAnsi="Aaux Next" w:cs="Times New Roman (Body CS)"/>
      <w:sz w:val="20"/>
      <w14:ligatures w14:val="all"/>
    </w:rPr>
  </w:style>
  <w:style w:type="paragraph" w:customStyle="1" w:styleId="Sub-heading">
    <w:name w:val="Sub-heading"/>
    <w:basedOn w:val="Heading"/>
    <w:autoRedefine/>
    <w:qFormat/>
    <w:rsid w:val="00143CE0"/>
    <w:pPr>
      <w:spacing w:after="160" w:line="400" w:lineRule="exact"/>
    </w:pPr>
    <w:rPr>
      <w:rFonts w:eastAsia="Arial Unicode MS"/>
      <w:caps w:val="0"/>
      <w:color w:val="2C1B57" w:themeColor="accent1" w:themeTint="E6"/>
      <w:sz w:val="28"/>
      <w:szCs w:val="30"/>
    </w:rPr>
  </w:style>
  <w:style w:type="paragraph" w:customStyle="1" w:styleId="Normal-Bold">
    <w:name w:val="Normal-Bold"/>
    <w:basedOn w:val="Normal"/>
    <w:rsid w:val="005F6148"/>
    <w:rPr>
      <w:b/>
    </w:rPr>
  </w:style>
  <w:style w:type="character" w:customStyle="1" w:styleId="QuoteChar">
    <w:name w:val="Quote Char"/>
    <w:basedOn w:val="DefaultParagraphFont"/>
    <w:link w:val="Quote"/>
    <w:uiPriority w:val="29"/>
    <w:rsid w:val="00650A99"/>
    <w:rPr>
      <w:rFonts w:ascii="Aaux Next" w:hAnsi="Aaux Next" w:cs="Times New Roman (Body CS)"/>
      <w:i/>
      <w:iCs/>
      <w:color w:val="535353" w:themeColor="text1" w:themeTint="BF"/>
      <w:sz w:val="20"/>
      <w14:ligatures w14:val="all"/>
    </w:rPr>
  </w:style>
  <w:style w:type="paragraph" w:styleId="Header">
    <w:name w:val="header"/>
    <w:basedOn w:val="Normal"/>
    <w:link w:val="HeaderChar"/>
    <w:uiPriority w:val="99"/>
    <w:unhideWhenUsed/>
    <w:rsid w:val="00EE65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65D4"/>
    <w:rPr>
      <w:rFonts w:ascii="Aaux Next" w:hAnsi="Aaux Next" w:cs="Times New Roman (Body CS)"/>
      <w:sz w:val="20"/>
      <w14:ligatures w14:val="all"/>
    </w:rPr>
  </w:style>
  <w:style w:type="paragraph" w:customStyle="1" w:styleId="Bullets">
    <w:name w:val="Bullets"/>
    <w:basedOn w:val="Normal"/>
    <w:autoRedefine/>
    <w:qFormat/>
    <w:rsid w:val="00957E9C"/>
    <w:pPr>
      <w:numPr>
        <w:numId w:val="1"/>
      </w:numPr>
    </w:pPr>
  </w:style>
  <w:style w:type="paragraph" w:styleId="Footer">
    <w:name w:val="footer"/>
    <w:basedOn w:val="Normal"/>
    <w:link w:val="FooterChar"/>
    <w:uiPriority w:val="99"/>
    <w:unhideWhenUsed/>
    <w:rsid w:val="00C47C8E"/>
    <w:pPr>
      <w:tabs>
        <w:tab w:val="center" w:pos="4513"/>
        <w:tab w:val="right" w:pos="9026"/>
      </w:tabs>
      <w:spacing w:before="0" w:after="0" w:line="240" w:lineRule="auto"/>
    </w:pPr>
    <w:rPr>
      <w:color w:val="696969"/>
    </w:rPr>
  </w:style>
  <w:style w:type="character" w:customStyle="1" w:styleId="FooterChar">
    <w:name w:val="Footer Char"/>
    <w:basedOn w:val="DefaultParagraphFont"/>
    <w:link w:val="Footer"/>
    <w:uiPriority w:val="99"/>
    <w:rsid w:val="00C47C8E"/>
    <w:rPr>
      <w:rFonts w:ascii="Aaux Next" w:hAnsi="Aaux Next" w:cs="Times New Roman (Body CS)"/>
      <w:color w:val="696969"/>
      <w:sz w:val="20"/>
      <w14:ligatures w14:val="all"/>
    </w:rPr>
  </w:style>
  <w:style w:type="paragraph" w:customStyle="1" w:styleId="Letter-AddressDate">
    <w:name w:val="Letter - Address &amp; Date"/>
    <w:basedOn w:val="NoSpacing"/>
    <w:autoRedefine/>
    <w:qFormat/>
    <w:rsid w:val="00957E9C"/>
    <w:pPr>
      <w:jc w:val="right"/>
    </w:pPr>
    <w:rPr>
      <w:rFonts w:ascii="Franklin Gothic Book" w:hAnsi="Franklin Gothic Book"/>
    </w:rPr>
  </w:style>
  <w:style w:type="paragraph" w:customStyle="1" w:styleId="Letter-Recipient">
    <w:name w:val="Letter - Recipient"/>
    <w:basedOn w:val="Letter-AddressDate"/>
    <w:autoRedefine/>
    <w:qFormat/>
    <w:rsid w:val="00680A3D"/>
    <w:pPr>
      <w:jc w:val="left"/>
    </w:pPr>
  </w:style>
  <w:style w:type="paragraph" w:styleId="BalloonText">
    <w:name w:val="Balloon Text"/>
    <w:basedOn w:val="Normal"/>
    <w:link w:val="BalloonTextChar"/>
    <w:uiPriority w:val="99"/>
    <w:semiHidden/>
    <w:unhideWhenUsed/>
    <w:rsid w:val="00D4246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462"/>
    <w:rPr>
      <w:rFonts w:ascii="Times New Roman" w:hAnsi="Times New Roman" w:cs="Times New Roman"/>
      <w:sz w:val="18"/>
      <w:szCs w:val="18"/>
      <w14:ligatures w14:val="all"/>
    </w:rPr>
  </w:style>
  <w:style w:type="paragraph" w:customStyle="1" w:styleId="Body-Copy10125">
    <w:name w:val="Body-Copy 10/12.5"/>
    <w:basedOn w:val="Normal"/>
    <w:uiPriority w:val="99"/>
    <w:rsid w:val="00C47C8E"/>
    <w:pPr>
      <w:keepLines/>
      <w:autoSpaceDE w:val="0"/>
      <w:autoSpaceDN w:val="0"/>
      <w:adjustRightInd w:val="0"/>
      <w:spacing w:before="0" w:after="120" w:line="250" w:lineRule="atLeast"/>
      <w:jc w:val="both"/>
      <w:textAlignment w:val="center"/>
    </w:pPr>
    <w:rPr>
      <w:rFonts w:ascii="Aaux Next Regular" w:hAnsi="Aaux Next Regular" w:cs="Aaux Next Regular"/>
      <w:color w:val="000000"/>
      <w:szCs w:val="20"/>
      <w14:ligatures w14:val="none"/>
    </w:rPr>
  </w:style>
  <w:style w:type="table" w:styleId="TableGrid">
    <w:name w:val="Table Grid"/>
    <w:basedOn w:val="TableNormal"/>
    <w:uiPriority w:val="39"/>
    <w:rsid w:val="0006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Sub-heading"/>
    <w:autoRedefine/>
    <w:qFormat/>
    <w:rsid w:val="001344F5"/>
    <w:rPr>
      <w:color w:val="FFFFFF" w:themeColor="background1"/>
      <w:sz w:val="24"/>
      <w:szCs w:val="28"/>
    </w:rPr>
  </w:style>
  <w:style w:type="paragraph" w:customStyle="1" w:styleId="TextboxText">
    <w:name w:val="Textbox Text"/>
    <w:basedOn w:val="Sub-heading"/>
    <w:autoRedefine/>
    <w:qFormat/>
    <w:rsid w:val="00AE6D8E"/>
    <w:pPr>
      <w:spacing w:before="80" w:after="80" w:line="300" w:lineRule="exact"/>
    </w:pPr>
    <w:rPr>
      <w:color w:val="FFFFFF" w:themeColor="background1" w:themeTint="E6"/>
      <w:sz w:val="24"/>
    </w:rPr>
  </w:style>
  <w:style w:type="character" w:styleId="Hyperlink">
    <w:name w:val="Hyperlink"/>
    <w:basedOn w:val="DefaultParagraphFont"/>
    <w:unhideWhenUsed/>
    <w:rsid w:val="007C46F8"/>
    <w:rPr>
      <w:color w:val="262626" w:themeColor="hyperlink"/>
      <w:u w:val="single"/>
    </w:rPr>
  </w:style>
  <w:style w:type="character" w:styleId="UnresolvedMention">
    <w:name w:val="Unresolved Mention"/>
    <w:basedOn w:val="DefaultParagraphFont"/>
    <w:uiPriority w:val="99"/>
    <w:semiHidden/>
    <w:unhideWhenUsed/>
    <w:rsid w:val="007C46F8"/>
    <w:rPr>
      <w:color w:val="605E5C"/>
      <w:shd w:val="clear" w:color="auto" w:fill="E1DFDD"/>
    </w:rPr>
  </w:style>
  <w:style w:type="paragraph" w:styleId="ListParagraph">
    <w:name w:val="List Paragraph"/>
    <w:basedOn w:val="Normal"/>
    <w:uiPriority w:val="34"/>
    <w:qFormat/>
    <w:rsid w:val="00D50B64"/>
    <w:pPr>
      <w:ind w:left="720"/>
      <w:contextualSpacing/>
    </w:pPr>
  </w:style>
  <w:style w:type="character" w:styleId="FollowedHyperlink">
    <w:name w:val="FollowedHyperlink"/>
    <w:basedOn w:val="DefaultParagraphFont"/>
    <w:uiPriority w:val="99"/>
    <w:semiHidden/>
    <w:unhideWhenUsed/>
    <w:rsid w:val="00B87A87"/>
    <w:rPr>
      <w:color w:val="1A1A1A" w:themeColor="followedHyperlink"/>
      <w:u w:val="single"/>
    </w:rPr>
  </w:style>
  <w:style w:type="character" w:styleId="CommentReference">
    <w:name w:val="annotation reference"/>
    <w:basedOn w:val="DefaultParagraphFont"/>
    <w:uiPriority w:val="99"/>
    <w:semiHidden/>
    <w:unhideWhenUsed/>
    <w:rsid w:val="009E688A"/>
    <w:rPr>
      <w:sz w:val="16"/>
      <w:szCs w:val="16"/>
    </w:rPr>
  </w:style>
  <w:style w:type="paragraph" w:styleId="CommentText">
    <w:name w:val="annotation text"/>
    <w:basedOn w:val="Normal"/>
    <w:link w:val="CommentTextChar"/>
    <w:uiPriority w:val="99"/>
    <w:unhideWhenUsed/>
    <w:rsid w:val="009E688A"/>
    <w:pPr>
      <w:spacing w:line="240" w:lineRule="auto"/>
    </w:pPr>
    <w:rPr>
      <w:szCs w:val="20"/>
    </w:rPr>
  </w:style>
  <w:style w:type="character" w:customStyle="1" w:styleId="CommentTextChar">
    <w:name w:val="Comment Text Char"/>
    <w:basedOn w:val="DefaultParagraphFont"/>
    <w:link w:val="CommentText"/>
    <w:uiPriority w:val="99"/>
    <w:rsid w:val="009E688A"/>
    <w:rPr>
      <w:rFonts w:ascii="Franklin Gothic Book" w:hAnsi="Franklin Gothic Book" w:cs="Times New Roman (Body CS)"/>
      <w:sz w:val="20"/>
      <w:szCs w:val="20"/>
      <w14:ligatures w14:val="all"/>
    </w:rPr>
  </w:style>
  <w:style w:type="paragraph" w:styleId="CommentSubject">
    <w:name w:val="annotation subject"/>
    <w:basedOn w:val="CommentText"/>
    <w:next w:val="CommentText"/>
    <w:link w:val="CommentSubjectChar"/>
    <w:uiPriority w:val="99"/>
    <w:semiHidden/>
    <w:unhideWhenUsed/>
    <w:rsid w:val="009E688A"/>
    <w:rPr>
      <w:b/>
      <w:bCs/>
    </w:rPr>
  </w:style>
  <w:style w:type="character" w:customStyle="1" w:styleId="CommentSubjectChar">
    <w:name w:val="Comment Subject Char"/>
    <w:basedOn w:val="CommentTextChar"/>
    <w:link w:val="CommentSubject"/>
    <w:uiPriority w:val="99"/>
    <w:semiHidden/>
    <w:rsid w:val="009E688A"/>
    <w:rPr>
      <w:rFonts w:ascii="Franklin Gothic Book" w:hAnsi="Franklin Gothic Book" w:cs="Times New Roman (Body CS)"/>
      <w:b/>
      <w:bCs/>
      <w:sz w:val="20"/>
      <w:szCs w:val="20"/>
      <w14:ligatures w14:val="all"/>
    </w:rPr>
  </w:style>
  <w:style w:type="character" w:customStyle="1" w:styleId="Heading2Char">
    <w:name w:val="Heading 2 Char"/>
    <w:basedOn w:val="DefaultParagraphFont"/>
    <w:link w:val="Heading2"/>
    <w:uiPriority w:val="9"/>
    <w:semiHidden/>
    <w:rsid w:val="00FE7D9F"/>
    <w:rPr>
      <w:rFonts w:asciiTheme="majorHAnsi" w:eastAsiaTheme="majorEastAsia" w:hAnsiTheme="majorHAnsi" w:cstheme="majorBidi"/>
      <w:color w:val="140C28" w:themeColor="accent1" w:themeShade="BF"/>
      <w:sz w:val="26"/>
      <w:szCs w:val="26"/>
      <w14:ligatures w14:val="a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6147">
      <w:bodyDiv w:val="1"/>
      <w:marLeft w:val="0"/>
      <w:marRight w:val="0"/>
      <w:marTop w:val="0"/>
      <w:marBottom w:val="0"/>
      <w:divBdr>
        <w:top w:val="none" w:sz="0" w:space="0" w:color="auto"/>
        <w:left w:val="none" w:sz="0" w:space="0" w:color="auto"/>
        <w:bottom w:val="none" w:sz="0" w:space="0" w:color="auto"/>
        <w:right w:val="none" w:sz="0" w:space="0" w:color="auto"/>
      </w:divBdr>
    </w:div>
    <w:div w:id="622931825">
      <w:bodyDiv w:val="1"/>
      <w:marLeft w:val="0"/>
      <w:marRight w:val="0"/>
      <w:marTop w:val="0"/>
      <w:marBottom w:val="0"/>
      <w:divBdr>
        <w:top w:val="none" w:sz="0" w:space="0" w:color="auto"/>
        <w:left w:val="none" w:sz="0" w:space="0" w:color="auto"/>
        <w:bottom w:val="none" w:sz="0" w:space="0" w:color="auto"/>
        <w:right w:val="none" w:sz="0" w:space="0" w:color="auto"/>
      </w:divBdr>
    </w:div>
    <w:div w:id="975142403">
      <w:bodyDiv w:val="1"/>
      <w:marLeft w:val="0"/>
      <w:marRight w:val="0"/>
      <w:marTop w:val="0"/>
      <w:marBottom w:val="0"/>
      <w:divBdr>
        <w:top w:val="none" w:sz="0" w:space="0" w:color="auto"/>
        <w:left w:val="none" w:sz="0" w:space="0" w:color="auto"/>
        <w:bottom w:val="none" w:sz="0" w:space="0" w:color="auto"/>
        <w:right w:val="none" w:sz="0" w:space="0" w:color="auto"/>
      </w:divBdr>
    </w:div>
    <w:div w:id="1133861576">
      <w:bodyDiv w:val="1"/>
      <w:marLeft w:val="0"/>
      <w:marRight w:val="0"/>
      <w:marTop w:val="0"/>
      <w:marBottom w:val="0"/>
      <w:divBdr>
        <w:top w:val="none" w:sz="0" w:space="0" w:color="auto"/>
        <w:left w:val="none" w:sz="0" w:space="0" w:color="auto"/>
        <w:bottom w:val="none" w:sz="0" w:space="0" w:color="auto"/>
        <w:right w:val="none" w:sz="0" w:space="0" w:color="auto"/>
      </w:divBdr>
    </w:div>
    <w:div w:id="11356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chool-governance-update/academy-trusts-school-governance-update-july-202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ly.quickcrockford@junipereducation.org" TargetMode="External"/><Relationship Id="rId17" Type="http://schemas.openxmlformats.org/officeDocument/2006/relationships/hyperlink" Target="https://www.gov.uk/government/publications/academy-trust-financial-management-good-practice-guides/internal-scrutiny-in-academy-trusts?" TargetMode="External"/><Relationship Id="rId2" Type="http://schemas.openxmlformats.org/officeDocument/2006/relationships/customXml" Target="../customXml/item2.xml"/><Relationship Id="rId16" Type="http://schemas.openxmlformats.org/officeDocument/2006/relationships/hyperlink" Target="https://assets.publishing.service.gov.uk/media/61018f99e90e0703b58e8c79/Academy_trust_handbook_2022.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integrated-curriculum-and-financial-planning-icfp" TargetMode="External"/><Relationship Id="rId5" Type="http://schemas.openxmlformats.org/officeDocument/2006/relationships/numbering" Target="numbering.xml"/><Relationship Id="rId15" Type="http://schemas.openxmlformats.org/officeDocument/2006/relationships/hyperlink" Target="mailto:carly.quickcrockford@junipereducation.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sc.gov.uk/information/school-governor-question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Smith\Juniper\Education%20Finance%20-%20Documents\ICE\2-Internal%20Scrutiny%202022-2023\Academy\Summary\Internal%20Scrutiny%20Report%202022-23.dotx" TargetMode="External"/></Relationships>
</file>

<file path=word/theme/theme1.xml><?xml version="1.0" encoding="utf-8"?>
<a:theme xmlns:a="http://schemas.openxmlformats.org/drawingml/2006/main" name="Juniper">
  <a:themeElements>
    <a:clrScheme name="Juniper">
      <a:dk1>
        <a:srgbClr val="1A1A1A"/>
      </a:dk1>
      <a:lt1>
        <a:srgbClr val="FFFFFF"/>
      </a:lt1>
      <a:dk2>
        <a:srgbClr val="000000"/>
      </a:dk2>
      <a:lt2>
        <a:srgbClr val="FFFFFF"/>
      </a:lt2>
      <a:accent1>
        <a:srgbClr val="1C1137"/>
      </a:accent1>
      <a:accent2>
        <a:srgbClr val="6D6299"/>
      </a:accent2>
      <a:accent3>
        <a:srgbClr val="2C7E3C"/>
      </a:accent3>
      <a:accent4>
        <a:srgbClr val="3C2E59"/>
      </a:accent4>
      <a:accent5>
        <a:srgbClr val="696969"/>
      </a:accent5>
      <a:accent6>
        <a:srgbClr val="569A6B"/>
      </a:accent6>
      <a:hlink>
        <a:srgbClr val="262626"/>
      </a:hlink>
      <a:folHlink>
        <a:srgbClr val="1A1A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5" ma:contentTypeDescription="Create a new document." ma:contentTypeScope="" ma:versionID="ac661dd5bdd1fd8e46e8c265db0404f5">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421560ac765ab475790f5e5d0ffb9d24"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89a639-ae39-408d-b32b-1540311116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b5a50b-01cc-43bc-8887-0e0d9f3789d7}" ma:internalName="TaxCatchAll" ma:showField="CatchAllData" ma:web="4893dd02-7383-45c5-8ef5-7d64b2dfba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8d6c19-b72a-44b0-9565-f0f2931ba338">
      <Terms xmlns="http://schemas.microsoft.com/office/infopath/2007/PartnerControls"/>
    </lcf76f155ced4ddcb4097134ff3c332f>
    <TaxCatchAll xmlns="4893dd02-7383-45c5-8ef5-7d64b2dfba0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88574-819F-4E75-B656-D6D6EE48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60193-0919-E64A-AA48-54E7665478CF}">
  <ds:schemaRefs>
    <ds:schemaRef ds:uri="http://schemas.openxmlformats.org/officeDocument/2006/bibliography"/>
  </ds:schemaRefs>
</ds:datastoreItem>
</file>

<file path=customXml/itemProps3.xml><?xml version="1.0" encoding="utf-8"?>
<ds:datastoreItem xmlns:ds="http://schemas.openxmlformats.org/officeDocument/2006/customXml" ds:itemID="{187A87A6-6E55-48FF-896A-E089197B53F2}">
  <ds:schemaRefs>
    <ds:schemaRef ds:uri="http://schemas.microsoft.com/office/2006/metadata/properties"/>
    <ds:schemaRef ds:uri="http://schemas.microsoft.com/office/infopath/2007/PartnerControls"/>
    <ds:schemaRef ds:uri="628d6c19-b72a-44b0-9565-f0f2931ba338"/>
    <ds:schemaRef ds:uri="4893dd02-7383-45c5-8ef5-7d64b2dfba00"/>
  </ds:schemaRefs>
</ds:datastoreItem>
</file>

<file path=customXml/itemProps4.xml><?xml version="1.0" encoding="utf-8"?>
<ds:datastoreItem xmlns:ds="http://schemas.openxmlformats.org/officeDocument/2006/customXml" ds:itemID="{99D73192-75F4-4A44-92D6-92D14F76E5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Internal Scrutiny Report 2022-23</Template>
  <TotalTime>7</TotalTime>
  <Pages>10</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Links>
    <vt:vector size="48" baseType="variant">
      <vt:variant>
        <vt:i4>5177415</vt:i4>
      </vt:variant>
      <vt:variant>
        <vt:i4>21</vt:i4>
      </vt:variant>
      <vt:variant>
        <vt:i4>0</vt:i4>
      </vt:variant>
      <vt:variant>
        <vt:i4>5</vt:i4>
      </vt:variant>
      <vt:variant>
        <vt:lpwstr>https://www.gov.uk/government/publications/academy-trust-financial-management-good-practice-guides/internal-scrutiny-in-academy-trusts?</vt:lpwstr>
      </vt:variant>
      <vt:variant>
        <vt:lpwstr>annex-1</vt:lpwstr>
      </vt:variant>
      <vt:variant>
        <vt:i4>3342411</vt:i4>
      </vt:variant>
      <vt:variant>
        <vt:i4>18</vt:i4>
      </vt:variant>
      <vt:variant>
        <vt:i4>0</vt:i4>
      </vt:variant>
      <vt:variant>
        <vt:i4>5</vt:i4>
      </vt:variant>
      <vt:variant>
        <vt:lpwstr>https://assets.publishing.service.gov.uk/media/61018f99e90e0703b58e8c79/Academy_trust_handbook_2022.pdf</vt:lpwstr>
      </vt:variant>
      <vt:variant>
        <vt:lpwstr/>
      </vt:variant>
      <vt:variant>
        <vt:i4>3866709</vt:i4>
      </vt:variant>
      <vt:variant>
        <vt:i4>15</vt:i4>
      </vt:variant>
      <vt:variant>
        <vt:i4>0</vt:i4>
      </vt:variant>
      <vt:variant>
        <vt:i4>5</vt:i4>
      </vt:variant>
      <vt:variant>
        <vt:lpwstr>mailto:carly.quickcrockford@junipereducation.org</vt:lpwstr>
      </vt:variant>
      <vt:variant>
        <vt:lpwstr/>
      </vt:variant>
      <vt:variant>
        <vt:i4>1769474</vt:i4>
      </vt:variant>
      <vt:variant>
        <vt:i4>12</vt:i4>
      </vt:variant>
      <vt:variant>
        <vt:i4>0</vt:i4>
      </vt:variant>
      <vt:variant>
        <vt:i4>5</vt:i4>
      </vt:variant>
      <vt:variant>
        <vt:lpwstr>https://www.ncsc.gov.uk/information/school-governor-questions</vt:lpwstr>
      </vt:variant>
      <vt:variant>
        <vt:lpwstr/>
      </vt:variant>
      <vt:variant>
        <vt:i4>5373964</vt:i4>
      </vt:variant>
      <vt:variant>
        <vt:i4>9</vt:i4>
      </vt:variant>
      <vt:variant>
        <vt:i4>0</vt:i4>
      </vt:variant>
      <vt:variant>
        <vt:i4>5</vt:i4>
      </vt:variant>
      <vt:variant>
        <vt:lpwstr>https://www.gov.uk/government/publications/school-governance-update/academy-trusts-school-governance-update-july-2020</vt:lpwstr>
      </vt:variant>
      <vt:variant>
        <vt:lpwstr>new-guidance-on-managing-cyber-security-risks-in-your-school</vt:lpwstr>
      </vt:variant>
      <vt:variant>
        <vt:i4>3866709</vt:i4>
      </vt:variant>
      <vt:variant>
        <vt:i4>6</vt:i4>
      </vt:variant>
      <vt:variant>
        <vt:i4>0</vt:i4>
      </vt:variant>
      <vt:variant>
        <vt:i4>5</vt:i4>
      </vt:variant>
      <vt:variant>
        <vt:lpwstr>mailto:carly.quickcrockford@junipereducation.org</vt:lpwstr>
      </vt:variant>
      <vt:variant>
        <vt:lpwstr/>
      </vt:variant>
      <vt:variant>
        <vt:i4>1703966</vt:i4>
      </vt:variant>
      <vt:variant>
        <vt:i4>3</vt:i4>
      </vt:variant>
      <vt:variant>
        <vt:i4>0</vt:i4>
      </vt:variant>
      <vt:variant>
        <vt:i4>5</vt:i4>
      </vt:variant>
      <vt:variant>
        <vt:lpwstr>https://www.gov.uk/guidance/integrated-curriculum-and-financial-planning-icfp</vt:lpwstr>
      </vt:variant>
      <vt:variant>
        <vt:lpwstr/>
      </vt:variant>
      <vt:variant>
        <vt:i4>5439504</vt:i4>
      </vt:variant>
      <vt:variant>
        <vt:i4>0</vt:i4>
      </vt:variant>
      <vt:variant>
        <vt:i4>0</vt:i4>
      </vt:variant>
      <vt:variant>
        <vt:i4>5</vt:i4>
      </vt:variant>
      <vt:variant>
        <vt:lpwstr>http://www.gov.uk/guidance/what-academies-free-schools-and-colleges-should-publish-online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Smith</dc:creator>
  <cp:keywords/>
  <dc:description/>
  <cp:lastModifiedBy>Sian Smith</cp:lastModifiedBy>
  <cp:revision>10</cp:revision>
  <cp:lastPrinted>2020-07-16T00:15:00Z</cp:lastPrinted>
  <dcterms:created xsi:type="dcterms:W3CDTF">2023-03-28T11:43:00Z</dcterms:created>
  <dcterms:modified xsi:type="dcterms:W3CDTF">2023-03-28T12:07:00Z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MediaServiceImageTags">
    <vt:lpwstr/>
  </property>
</Properties>
</file>