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04957F" w14:textId="77777777" w:rsidR="00D50B64" w:rsidRDefault="00D50B64" w:rsidP="00D50B64">
      <w:pPr>
        <w:tabs>
          <w:tab w:val="left" w:pos="13125"/>
          <w:tab w:val="left" w:pos="14160"/>
        </w:tabs>
        <w:suppressAutoHyphens w:val="0"/>
        <w:spacing w:before="0" w:after="0" w:line="240" w:lineRule="auto"/>
        <w:ind w:right="3043"/>
        <w:rPr>
          <w:rFonts w:ascii="Arial" w:eastAsia="Arial Unicode MS" w:hAnsi="Arial" w:cs="Arial"/>
          <w:b/>
          <w:color w:val="3C3060"/>
          <w:sz w:val="72"/>
          <w:szCs w:val="72"/>
          <w14:ligatures w14:val="none"/>
        </w:rPr>
      </w:pPr>
      <w:bookmarkStart w:id="0" w:name="_GoBack"/>
      <w:bookmarkEnd w:id="0"/>
    </w:p>
    <w:p w14:paraId="77E7F08A" w14:textId="77777777" w:rsidR="00D50B64" w:rsidRDefault="00D50B64" w:rsidP="00D50B64">
      <w:pPr>
        <w:tabs>
          <w:tab w:val="left" w:pos="13125"/>
          <w:tab w:val="left" w:pos="14160"/>
        </w:tabs>
        <w:suppressAutoHyphens w:val="0"/>
        <w:spacing w:before="0" w:after="0" w:line="240" w:lineRule="auto"/>
        <w:ind w:right="3043"/>
        <w:rPr>
          <w:rFonts w:ascii="Arial" w:eastAsia="Arial Unicode MS" w:hAnsi="Arial" w:cs="Arial"/>
          <w:b/>
          <w:color w:val="3C3060"/>
          <w:sz w:val="48"/>
          <w:szCs w:val="48"/>
          <w14:ligatures w14:val="none"/>
        </w:rPr>
      </w:pPr>
    </w:p>
    <w:p w14:paraId="1803E24F" w14:textId="77777777" w:rsidR="005F200C" w:rsidRDefault="005F200C" w:rsidP="00D50B64">
      <w:pPr>
        <w:tabs>
          <w:tab w:val="left" w:pos="13125"/>
          <w:tab w:val="left" w:pos="14160"/>
        </w:tabs>
        <w:suppressAutoHyphens w:val="0"/>
        <w:spacing w:before="0" w:after="0" w:line="240" w:lineRule="auto"/>
        <w:ind w:right="3043"/>
        <w:rPr>
          <w:rFonts w:ascii="Arial" w:eastAsia="Arial Unicode MS" w:hAnsi="Arial" w:cs="Arial"/>
          <w:b/>
          <w:color w:val="3C3060"/>
          <w:sz w:val="48"/>
          <w:szCs w:val="48"/>
          <w14:ligatures w14:val="none"/>
        </w:rPr>
      </w:pPr>
    </w:p>
    <w:p w14:paraId="680DB40F" w14:textId="77777777" w:rsidR="005F200C" w:rsidRPr="005F200C" w:rsidRDefault="005F200C" w:rsidP="00D50B64">
      <w:pPr>
        <w:tabs>
          <w:tab w:val="left" w:pos="13125"/>
          <w:tab w:val="left" w:pos="14160"/>
        </w:tabs>
        <w:suppressAutoHyphens w:val="0"/>
        <w:spacing w:before="0" w:after="0" w:line="240" w:lineRule="auto"/>
        <w:ind w:right="3043"/>
        <w:rPr>
          <w:rFonts w:ascii="Arial" w:eastAsia="Arial Unicode MS" w:hAnsi="Arial" w:cs="Arial"/>
          <w:b/>
          <w:color w:val="3C3060"/>
          <w:sz w:val="48"/>
          <w:szCs w:val="48"/>
          <w14:ligatures w14:val="none"/>
        </w:rPr>
      </w:pPr>
    </w:p>
    <w:p w14:paraId="70C1889A" w14:textId="77777777" w:rsidR="00DB3654" w:rsidRDefault="00DB3654" w:rsidP="004E2A97">
      <w:pPr>
        <w:tabs>
          <w:tab w:val="left" w:pos="11907"/>
          <w:tab w:val="left" w:pos="13125"/>
          <w:tab w:val="left" w:pos="14160"/>
        </w:tabs>
        <w:suppressAutoHyphens w:val="0"/>
        <w:spacing w:before="0" w:after="0" w:line="240" w:lineRule="auto"/>
        <w:ind w:right="1985"/>
        <w:rPr>
          <w:rFonts w:ascii="Franklin Gothic Medium" w:eastAsia="Arial Unicode MS" w:hAnsi="Franklin Gothic Medium" w:cs="Arial"/>
          <w:bCs/>
          <w:color w:val="3C3060"/>
          <w:sz w:val="72"/>
          <w:szCs w:val="72"/>
          <w14:ligatures w14:val="none"/>
        </w:rPr>
      </w:pPr>
      <w:r>
        <w:rPr>
          <w:rFonts w:ascii="Franklin Gothic Medium" w:eastAsia="Arial Unicode MS" w:hAnsi="Franklin Gothic Medium" w:cs="Arial"/>
          <w:bCs/>
          <w:color w:val="3C3060"/>
          <w:sz w:val="72"/>
          <w:szCs w:val="72"/>
          <w14:ligatures w14:val="none"/>
        </w:rPr>
        <w:t>I</w:t>
      </w:r>
      <w:r w:rsidR="00D50B64" w:rsidRPr="005F200C">
        <w:rPr>
          <w:rFonts w:ascii="Franklin Gothic Medium" w:eastAsia="Arial Unicode MS" w:hAnsi="Franklin Gothic Medium" w:cs="Arial"/>
          <w:bCs/>
          <w:color w:val="3C3060"/>
          <w:sz w:val="72"/>
          <w:szCs w:val="72"/>
          <w14:ligatures w14:val="none"/>
        </w:rPr>
        <w:t>nternal Scrutiny Report</w:t>
      </w:r>
      <w:r w:rsidR="004E2A97">
        <w:rPr>
          <w:rFonts w:ascii="Franklin Gothic Medium" w:eastAsia="Arial Unicode MS" w:hAnsi="Franklin Gothic Medium" w:cs="Arial"/>
          <w:bCs/>
          <w:color w:val="3C3060"/>
          <w:sz w:val="72"/>
          <w:szCs w:val="72"/>
          <w14:ligatures w14:val="none"/>
        </w:rPr>
        <w:t xml:space="preserve"> </w:t>
      </w:r>
    </w:p>
    <w:p w14:paraId="4BA25E07" w14:textId="24ED86C1" w:rsidR="00D50B64" w:rsidRPr="007B1605" w:rsidRDefault="00F41443" w:rsidP="004E2A97">
      <w:pPr>
        <w:tabs>
          <w:tab w:val="left" w:pos="11907"/>
          <w:tab w:val="left" w:pos="13125"/>
          <w:tab w:val="left" w:pos="14160"/>
        </w:tabs>
        <w:suppressAutoHyphens w:val="0"/>
        <w:spacing w:before="0" w:after="0" w:line="240" w:lineRule="auto"/>
        <w:ind w:right="1985"/>
        <w:rPr>
          <w:rFonts w:ascii="Franklin Gothic Medium" w:eastAsia="Arial Unicode MS" w:hAnsi="Franklin Gothic Medium" w:cs="Arial"/>
          <w:bCs/>
          <w:color w:val="FF0000"/>
          <w:sz w:val="52"/>
          <w:szCs w:val="52"/>
          <w14:ligatures w14:val="none"/>
        </w:rPr>
      </w:pPr>
      <w:r>
        <w:rPr>
          <w:rFonts w:ascii="Franklin Gothic Medium" w:eastAsia="Arial Unicode MS" w:hAnsi="Franklin Gothic Medium" w:cs="Arial"/>
          <w:bCs/>
          <w:color w:val="3C3060"/>
          <w:sz w:val="52"/>
          <w:szCs w:val="52"/>
          <w14:ligatures w14:val="none"/>
        </w:rPr>
        <w:t>Financial</w:t>
      </w:r>
      <w:r w:rsidR="00721513">
        <w:rPr>
          <w:rFonts w:ascii="Franklin Gothic Medium" w:eastAsia="Arial Unicode MS" w:hAnsi="Franklin Gothic Medium" w:cs="Arial"/>
          <w:bCs/>
          <w:color w:val="3C3060"/>
          <w:sz w:val="52"/>
          <w:szCs w:val="52"/>
          <w14:ligatures w14:val="none"/>
        </w:rPr>
        <w:t xml:space="preserve"> Controls</w:t>
      </w:r>
    </w:p>
    <w:p w14:paraId="2EFE038B" w14:textId="77777777" w:rsidR="00D50B64" w:rsidRPr="00FA0678" w:rsidRDefault="00D50B64" w:rsidP="005F200C">
      <w:pPr>
        <w:tabs>
          <w:tab w:val="left" w:pos="13125"/>
          <w:tab w:val="left" w:pos="14160"/>
        </w:tabs>
        <w:suppressAutoHyphens w:val="0"/>
        <w:spacing w:before="0" w:after="0" w:line="240" w:lineRule="auto"/>
        <w:ind w:right="8505"/>
        <w:rPr>
          <w:rFonts w:ascii="Franklin Gothic Medium" w:eastAsia="Arial Unicode MS" w:hAnsi="Franklin Gothic Medium" w:cs="Arial"/>
          <w:bCs/>
          <w:color w:val="00B973"/>
          <w:sz w:val="56"/>
          <w:szCs w:val="56"/>
          <w14:ligatures w14:val="none"/>
        </w:rPr>
      </w:pPr>
      <w:r w:rsidRPr="00FA0678">
        <w:rPr>
          <w:rFonts w:ascii="Franklin Gothic Medium" w:eastAsia="Arial Unicode MS" w:hAnsi="Franklin Gothic Medium" w:cs="Arial"/>
          <w:bCs/>
          <w:color w:val="00B973"/>
          <w:sz w:val="56"/>
          <w:szCs w:val="56"/>
          <w14:ligatures w14:val="none"/>
        </w:rPr>
        <w:t>202</w:t>
      </w:r>
      <w:r w:rsidR="005F200C" w:rsidRPr="00FA0678">
        <w:rPr>
          <w:rFonts w:ascii="Franklin Gothic Medium" w:eastAsia="Arial Unicode MS" w:hAnsi="Franklin Gothic Medium" w:cs="Arial"/>
          <w:bCs/>
          <w:color w:val="00B973"/>
          <w:sz w:val="56"/>
          <w:szCs w:val="56"/>
          <w14:ligatures w14:val="none"/>
        </w:rPr>
        <w:t>2</w:t>
      </w:r>
      <w:r w:rsidRPr="00FA0678">
        <w:rPr>
          <w:rFonts w:ascii="Franklin Gothic Medium" w:eastAsia="Arial Unicode MS" w:hAnsi="Franklin Gothic Medium" w:cs="Arial"/>
          <w:bCs/>
          <w:color w:val="00B973"/>
          <w:sz w:val="56"/>
          <w:szCs w:val="56"/>
          <w14:ligatures w14:val="none"/>
        </w:rPr>
        <w:t>-2</w:t>
      </w:r>
      <w:r w:rsidR="005F200C" w:rsidRPr="00FA0678">
        <w:rPr>
          <w:rFonts w:ascii="Franklin Gothic Medium" w:eastAsia="Arial Unicode MS" w:hAnsi="Franklin Gothic Medium" w:cs="Arial"/>
          <w:bCs/>
          <w:color w:val="00B973"/>
          <w:sz w:val="56"/>
          <w:szCs w:val="56"/>
          <w14:ligatures w14:val="none"/>
        </w:rPr>
        <w:t>3</w:t>
      </w:r>
    </w:p>
    <w:p w14:paraId="61DAAC88" w14:textId="77777777" w:rsidR="00D50B64" w:rsidRPr="002521FE" w:rsidRDefault="00D50B64" w:rsidP="00D50B64">
      <w:pPr>
        <w:tabs>
          <w:tab w:val="left" w:pos="13125"/>
          <w:tab w:val="left" w:pos="14160"/>
        </w:tabs>
        <w:suppressAutoHyphens w:val="0"/>
        <w:spacing w:before="0" w:after="0" w:line="240" w:lineRule="auto"/>
        <w:rPr>
          <w:rFonts w:ascii="Arial" w:eastAsia="Arial Unicode MS" w:hAnsi="Arial" w:cs="Arial"/>
          <w:b/>
          <w:color w:val="3C3060"/>
          <w:sz w:val="36"/>
          <w:szCs w:val="36"/>
          <w14:ligatures w14:val="none"/>
        </w:rPr>
      </w:pPr>
      <w:r w:rsidRPr="002521FE">
        <w:rPr>
          <w:rFonts w:ascii="Arial" w:eastAsia="Times New Roman" w:hAnsi="Arial" w:cs="Arial"/>
          <w:noProof/>
          <w:sz w:val="24"/>
          <w:lang w:eastAsia="en-GB"/>
          <w14:ligatures w14:val="none"/>
        </w:rPr>
        <mc:AlternateContent>
          <mc:Choice Requires="wps">
            <w:drawing>
              <wp:anchor distT="0" distB="0" distL="114300" distR="114300" simplePos="0" relativeHeight="251658242" behindDoc="0" locked="0" layoutInCell="1" allowOverlap="1" wp14:anchorId="5BCFDD85" wp14:editId="507211AE">
                <wp:simplePos x="0" y="0"/>
                <wp:positionH relativeFrom="column">
                  <wp:posOffset>11430</wp:posOffset>
                </wp:positionH>
                <wp:positionV relativeFrom="paragraph">
                  <wp:posOffset>14605</wp:posOffset>
                </wp:positionV>
                <wp:extent cx="6552000" cy="0"/>
                <wp:effectExtent l="0" t="0" r="0" b="0"/>
                <wp:wrapNone/>
                <wp:docPr id="145" name="Straight Arrow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2000" cy="0"/>
                        </a:xfrm>
                        <a:prstGeom prst="straightConnector1">
                          <a:avLst/>
                        </a:prstGeom>
                        <a:noFill/>
                        <a:ln w="19050">
                          <a:solidFill>
                            <a:srgbClr val="00B9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E906824" id="_x0000_t32" coordsize="21600,21600" o:spt="32" o:oned="t" path="m,l21600,21600e" filled="f">
                <v:path arrowok="t" fillok="f" o:connecttype="none"/>
                <o:lock v:ext="edit" shapetype="t"/>
              </v:shapetype>
              <v:shape id="Straight Arrow Connector 145" o:spid="_x0000_s1026" type="#_x0000_t32" style="position:absolute;margin-left:.9pt;margin-top:1.15pt;width:515.9pt;height: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" strokecolor="#00b973" strokeweight="1.5pt"/>
            </w:pict>
          </mc:Fallback>
        </mc:AlternateContent>
      </w:r>
      <w:r w:rsidRPr="002521FE">
        <w:rPr>
          <w:rFonts w:ascii="Arial" w:eastAsia="Times New Roman" w:hAnsi="Arial" w:cs="Arial"/>
          <w:noProof/>
          <w:sz w:val="24"/>
          <w:lang w:eastAsia="en-GB"/>
          <w14:ligatures w14:val="none"/>
        </w:rPr>
        <mc:AlternateContent>
          <mc:Choice Requires="wps">
            <w:drawing>
              <wp:anchor distT="4294967295" distB="4294967295" distL="114300" distR="114300" simplePos="0" relativeHeight="251658241" behindDoc="0" locked="0" layoutInCell="1" allowOverlap="1" wp14:anchorId="431D1C4C" wp14:editId="4ED37284">
                <wp:simplePos x="0" y="0"/>
                <wp:positionH relativeFrom="column">
                  <wp:posOffset>828675</wp:posOffset>
                </wp:positionH>
                <wp:positionV relativeFrom="paragraph">
                  <wp:posOffset>5005704</wp:posOffset>
                </wp:positionV>
                <wp:extent cx="5238750" cy="0"/>
                <wp:effectExtent l="0" t="0" r="19050" b="19050"/>
                <wp:wrapNone/>
                <wp:docPr id="146" name="Straight Connector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38750" cy="0"/>
                        </a:xfrm>
                        <a:prstGeom prst="line">
                          <a:avLst/>
                        </a:prstGeom>
                        <a:noFill/>
                        <a:ln w="19050" cap="flat" cmpd="sng" algn="ctr">
                          <a:solidFill>
                            <a:srgbClr val="00B973"/>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A99B1B3" id="Straight Connector 146"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25pt,394.15pt" to="477.75pt,39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" strokecolor="#00b973" strokeweight="1.5pt">
                <v:stroke joinstyle="miter"/>
                <o:lock v:ext="edit" shapetype="f"/>
              </v:line>
            </w:pict>
          </mc:Fallback>
        </mc:AlternateContent>
      </w:r>
      <w:r w:rsidRPr="002521FE">
        <w:rPr>
          <w:rFonts w:ascii="Arial" w:eastAsia="Times New Roman" w:hAnsi="Arial" w:cs="Arial"/>
          <w:noProof/>
          <w:sz w:val="24"/>
          <w:lang w:eastAsia="en-GB"/>
          <w14:ligatures w14:val="none"/>
        </w:rPr>
        <mc:AlternateContent>
          <mc:Choice Requires="wps">
            <w:drawing>
              <wp:anchor distT="4294967295" distB="4294967295" distL="114300" distR="114300" simplePos="0" relativeHeight="251658240" behindDoc="0" locked="0" layoutInCell="1" allowOverlap="1" wp14:anchorId="20DD02CE" wp14:editId="59C14BF0">
                <wp:simplePos x="0" y="0"/>
                <wp:positionH relativeFrom="column">
                  <wp:posOffset>828675</wp:posOffset>
                </wp:positionH>
                <wp:positionV relativeFrom="paragraph">
                  <wp:posOffset>5005704</wp:posOffset>
                </wp:positionV>
                <wp:extent cx="5238750" cy="0"/>
                <wp:effectExtent l="0" t="0" r="19050" b="19050"/>
                <wp:wrapNone/>
                <wp:docPr id="147" name="Straight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38750" cy="0"/>
                        </a:xfrm>
                        <a:prstGeom prst="line">
                          <a:avLst/>
                        </a:prstGeom>
                        <a:noFill/>
                        <a:ln w="19050" cap="flat" cmpd="sng" algn="ctr">
                          <a:solidFill>
                            <a:srgbClr val="00B973"/>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8787452" id="Straight Connector 14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25pt,394.15pt" to="477.75pt,39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" strokecolor="#00b973" strokeweight="1.5pt">
                <v:stroke joinstyle="miter"/>
                <o:lock v:ext="edit" shapetype="f"/>
              </v:line>
            </w:pict>
          </mc:Fallback>
        </mc:AlternateContent>
      </w:r>
    </w:p>
    <w:p w14:paraId="1D19D0B9" w14:textId="77777777" w:rsidR="00D50B64" w:rsidRPr="002521FE" w:rsidRDefault="00D50B64" w:rsidP="00D50B64">
      <w:pPr>
        <w:tabs>
          <w:tab w:val="left" w:pos="11057"/>
          <w:tab w:val="left" w:pos="13125"/>
          <w:tab w:val="left" w:pos="14160"/>
        </w:tabs>
        <w:suppressAutoHyphens w:val="0"/>
        <w:spacing w:before="0" w:after="0" w:line="240" w:lineRule="auto"/>
        <w:ind w:right="3515"/>
        <w:rPr>
          <w:rFonts w:ascii="Arial" w:eastAsia="Arial Unicode MS" w:hAnsi="Arial" w:cs="Arial"/>
          <w:b/>
          <w:color w:val="FF0000"/>
          <w:sz w:val="32"/>
          <w:szCs w:val="32"/>
          <w14:ligatures w14:val="none"/>
        </w:rPr>
      </w:pPr>
    </w:p>
    <w:p w14:paraId="02691198" w14:textId="6F7820AD" w:rsidR="00D50B64" w:rsidRPr="005F200C" w:rsidRDefault="00F41443" w:rsidP="00D50B64">
      <w:pPr>
        <w:tabs>
          <w:tab w:val="left" w:pos="13125"/>
          <w:tab w:val="left" w:pos="14160"/>
        </w:tabs>
        <w:suppressAutoHyphens w:val="0"/>
        <w:spacing w:before="0" w:after="0" w:line="240" w:lineRule="auto"/>
        <w:ind w:right="3798"/>
        <w:rPr>
          <w:rFonts w:ascii="Franklin Gothic Medium" w:eastAsia="Arial Unicode MS" w:hAnsi="Franklin Gothic Medium" w:cs="Arial"/>
          <w:bCs/>
          <w:color w:val="3C3060"/>
          <w:sz w:val="56"/>
          <w:szCs w:val="56"/>
          <w14:ligatures w14:val="none"/>
        </w:rPr>
      </w:pPr>
      <w:r>
        <w:rPr>
          <w:rFonts w:ascii="Franklin Gothic Medium" w:eastAsia="Arial Unicode MS" w:hAnsi="Franklin Gothic Medium" w:cs="Arial"/>
          <w:bCs/>
          <w:color w:val="3C3060"/>
          <w:sz w:val="56"/>
          <w:szCs w:val="56"/>
          <w14:ligatures w14:val="none"/>
        </w:rPr>
        <w:t>Shenfield High School</w:t>
      </w:r>
    </w:p>
    <w:p w14:paraId="13D4932B" w14:textId="4415F8DE" w:rsidR="00D50B64" w:rsidRPr="005F200C" w:rsidRDefault="00721513" w:rsidP="00D50B64">
      <w:pPr>
        <w:tabs>
          <w:tab w:val="left" w:pos="13125"/>
          <w:tab w:val="left" w:pos="14160"/>
        </w:tabs>
        <w:suppressAutoHyphens w:val="0"/>
        <w:spacing w:before="0" w:after="0" w:line="240" w:lineRule="auto"/>
        <w:ind w:right="3798"/>
        <w:rPr>
          <w:rFonts w:ascii="Franklin Gothic Medium" w:eastAsia="Arial Unicode MS" w:hAnsi="Franklin Gothic Medium" w:cs="Arial"/>
          <w:bCs/>
          <w:color w:val="3C3060"/>
          <w:sz w:val="40"/>
          <w:szCs w:val="40"/>
          <w14:ligatures w14:val="none"/>
        </w:rPr>
      </w:pPr>
      <w:r>
        <w:rPr>
          <w:rFonts w:ascii="Franklin Gothic Medium" w:eastAsia="Arial Unicode MS" w:hAnsi="Franklin Gothic Medium" w:cs="Arial"/>
          <w:bCs/>
          <w:color w:val="3C3060"/>
          <w:sz w:val="40"/>
          <w:szCs w:val="40"/>
          <w14:ligatures w14:val="none"/>
        </w:rPr>
        <w:t>Review 3of3:  J</w:t>
      </w:r>
      <w:r w:rsidR="00B40965">
        <w:rPr>
          <w:rFonts w:ascii="Franklin Gothic Medium" w:eastAsia="Arial Unicode MS" w:hAnsi="Franklin Gothic Medium" w:cs="Arial"/>
          <w:bCs/>
          <w:color w:val="3C3060"/>
          <w:sz w:val="40"/>
          <w:szCs w:val="40"/>
          <w14:ligatures w14:val="none"/>
        </w:rPr>
        <w:t>une</w:t>
      </w:r>
      <w:r w:rsidR="00F41443">
        <w:rPr>
          <w:rFonts w:ascii="Franklin Gothic Medium" w:eastAsia="Arial Unicode MS" w:hAnsi="Franklin Gothic Medium" w:cs="Arial"/>
          <w:bCs/>
          <w:color w:val="3C3060"/>
          <w:sz w:val="40"/>
          <w:szCs w:val="40"/>
          <w14:ligatures w14:val="none"/>
        </w:rPr>
        <w:t xml:space="preserve"> 2023</w:t>
      </w:r>
    </w:p>
    <w:p w14:paraId="5D1E8CC6" w14:textId="77777777" w:rsidR="00D50B64" w:rsidRPr="002521FE" w:rsidRDefault="00D50B64" w:rsidP="00D50B64">
      <w:pPr>
        <w:tabs>
          <w:tab w:val="left" w:pos="13125"/>
          <w:tab w:val="left" w:pos="14160"/>
        </w:tabs>
        <w:suppressAutoHyphens w:val="0"/>
        <w:spacing w:before="0" w:after="0" w:line="240" w:lineRule="auto"/>
        <w:ind w:right="5924"/>
        <w:rPr>
          <w:rFonts w:ascii="Arial" w:eastAsia="Arial Unicode MS" w:hAnsi="Arial" w:cs="Arial"/>
          <w:b/>
          <w:sz w:val="32"/>
          <w:szCs w:val="32"/>
          <w14:ligatures w14:val="none"/>
        </w:rPr>
      </w:pPr>
    </w:p>
    <w:p w14:paraId="780B6297" w14:textId="77777777" w:rsidR="00D50B64" w:rsidRPr="002521FE" w:rsidRDefault="00D50B64" w:rsidP="00D50B64">
      <w:pPr>
        <w:tabs>
          <w:tab w:val="left" w:pos="13125"/>
          <w:tab w:val="left" w:pos="14160"/>
        </w:tabs>
        <w:suppressAutoHyphens w:val="0"/>
        <w:spacing w:before="0" w:after="0" w:line="240" w:lineRule="auto"/>
        <w:ind w:right="8505"/>
        <w:rPr>
          <w:rFonts w:ascii="Arial" w:eastAsia="Arial Unicode MS" w:hAnsi="Arial" w:cs="Arial"/>
          <w:b/>
          <w:sz w:val="32"/>
          <w:szCs w:val="32"/>
          <w14:ligatures w14:val="none"/>
        </w:rPr>
      </w:pPr>
    </w:p>
    <w:p w14:paraId="67D232D0" w14:textId="77777777" w:rsidR="00D50B64" w:rsidRPr="002521FE" w:rsidRDefault="00D50B64" w:rsidP="00D50B64">
      <w:pPr>
        <w:suppressAutoHyphens w:val="0"/>
        <w:spacing w:before="0" w:after="200" w:line="276" w:lineRule="auto"/>
        <w:rPr>
          <w:rFonts w:ascii="Zona Pro" w:eastAsia="Arial Unicode MS" w:hAnsi="Zona Pro" w:cs="Times New Roman"/>
          <w:b/>
          <w:bCs/>
          <w:color w:val="3C3060"/>
          <w:sz w:val="28"/>
          <w:szCs w:val="28"/>
          <w:lang w:eastAsia="en-GB"/>
          <w14:ligatures w14:val="none"/>
        </w:rPr>
      </w:pPr>
      <w:r w:rsidRPr="002521FE">
        <w:rPr>
          <w:rFonts w:ascii="Zona Pro" w:eastAsia="Arial Unicode MS" w:hAnsi="Zona Pro" w:cs="Times New Roman"/>
          <w:b/>
          <w:bCs/>
          <w:color w:val="3C3060"/>
          <w:sz w:val="28"/>
          <w:szCs w:val="28"/>
          <w:lang w:eastAsia="en-GB"/>
          <w14:ligatures w14:val="none"/>
        </w:rPr>
        <w:br w:type="page"/>
      </w:r>
    </w:p>
    <w:p w14:paraId="05F44E6D" w14:textId="77777777" w:rsidR="00D50B64" w:rsidRDefault="00D50B64" w:rsidP="00143CE0">
      <w:pPr>
        <w:pStyle w:val="Sub-heading"/>
      </w:pPr>
      <w:r>
        <w:lastRenderedPageBreak/>
        <w:t xml:space="preserve">Executive </w:t>
      </w:r>
      <w:r w:rsidRPr="005F200C">
        <w:t>Summary</w:t>
      </w:r>
      <w:r>
        <w:t xml:space="preserve"> </w:t>
      </w:r>
    </w:p>
    <w:p w14:paraId="08715E8D" w14:textId="77777777" w:rsidR="00D50B64" w:rsidRPr="00FC02DB" w:rsidRDefault="00D50B64" w:rsidP="00D50B64">
      <w:pPr>
        <w:keepNext/>
        <w:spacing w:after="0" w:line="240" w:lineRule="auto"/>
        <w:outlineLvl w:val="0"/>
        <w:rPr>
          <w:rFonts w:eastAsia="Arial Unicode MS" w:cs="Times New Roman"/>
          <w:sz w:val="22"/>
          <w:szCs w:val="22"/>
          <w:lang w:eastAsia="en-GB"/>
        </w:rPr>
      </w:pPr>
    </w:p>
    <w:p w14:paraId="00450E7C" w14:textId="77777777" w:rsidR="00D50B64" w:rsidRPr="00FC02DB" w:rsidRDefault="00D50B64" w:rsidP="00D50B64">
      <w:pPr>
        <w:keepNext/>
        <w:spacing w:after="0" w:line="240" w:lineRule="auto"/>
        <w:outlineLvl w:val="0"/>
        <w:rPr>
          <w:rFonts w:eastAsia="Arial Unicode MS" w:cs="Times New Roman"/>
          <w:bCs/>
          <w:sz w:val="22"/>
          <w:szCs w:val="22"/>
          <w:lang w:eastAsia="en-GB"/>
        </w:rPr>
      </w:pPr>
      <w:r w:rsidRPr="00FC02DB">
        <w:rPr>
          <w:rFonts w:eastAsia="Arial Unicode MS" w:cs="Times New Roman"/>
          <w:bCs/>
          <w:sz w:val="22"/>
          <w:szCs w:val="22"/>
          <w:lang w:eastAsia="en-GB"/>
        </w:rPr>
        <w:t xml:space="preserve">This report provides assurance that adequate controls are being operated within </w:t>
      </w:r>
      <w:r w:rsidRPr="005F200C">
        <w:rPr>
          <w:rFonts w:eastAsia="Arial Unicode MS" w:cs="Times New Roman"/>
          <w:bCs/>
          <w:sz w:val="22"/>
          <w:szCs w:val="22"/>
          <w:lang w:eastAsia="en-GB"/>
        </w:rPr>
        <w:t>the trust, based</w:t>
      </w:r>
      <w:r w:rsidRPr="00FC02DB">
        <w:rPr>
          <w:rFonts w:eastAsia="Arial Unicode MS" w:cs="Times New Roman"/>
          <w:bCs/>
          <w:sz w:val="22"/>
          <w:szCs w:val="22"/>
          <w:lang w:eastAsia="en-GB"/>
        </w:rPr>
        <w:t xml:space="preserve"> on the understanding that the information provided during the review</w:t>
      </w:r>
      <w:r>
        <w:rPr>
          <w:rFonts w:eastAsia="Arial Unicode MS" w:cs="Times New Roman"/>
          <w:bCs/>
          <w:sz w:val="22"/>
          <w:szCs w:val="22"/>
          <w:lang w:eastAsia="en-GB"/>
        </w:rPr>
        <w:t xml:space="preserve"> </w:t>
      </w:r>
      <w:r w:rsidRPr="00FC02DB">
        <w:rPr>
          <w:rFonts w:eastAsia="Arial Unicode MS" w:cs="Times New Roman"/>
          <w:bCs/>
          <w:sz w:val="22"/>
          <w:szCs w:val="22"/>
          <w:lang w:eastAsia="en-GB"/>
        </w:rPr>
        <w:t xml:space="preserve">is accurate and complete. It should be noted however that recommendations to improve controls, if implemented, cannot guarantee that fraud or misappropriation could not occur. </w:t>
      </w:r>
    </w:p>
    <w:p w14:paraId="7449548E" w14:textId="77777777" w:rsidR="00D50B64" w:rsidRDefault="00D50B64" w:rsidP="00D50B64">
      <w:pPr>
        <w:keepNext/>
        <w:spacing w:after="0" w:line="240" w:lineRule="auto"/>
        <w:outlineLvl w:val="0"/>
        <w:rPr>
          <w:rFonts w:eastAsia="Arial Unicode MS" w:cs="Times New Roman"/>
          <w:sz w:val="22"/>
          <w:szCs w:val="22"/>
          <w:lang w:eastAsia="en-GB"/>
        </w:rPr>
      </w:pPr>
      <w:r w:rsidRPr="00FC02DB">
        <w:rPr>
          <w:sz w:val="22"/>
          <w:szCs w:val="22"/>
        </w:rPr>
        <w:t xml:space="preserve">Recommendations raised in the report issued </w:t>
      </w:r>
      <w:r w:rsidRPr="00FC02DB">
        <w:rPr>
          <w:rFonts w:eastAsia="Arial Unicode MS" w:cs="Times New Roman"/>
          <w:sz w:val="22"/>
          <w:szCs w:val="22"/>
          <w:lang w:eastAsia="en-GB"/>
        </w:rPr>
        <w:t xml:space="preserve">should be considered by the board of trustees / Audit and Risk Committee to assist them in providing assurance over the suitability of, and compliance with, the systems and operational controls in place. </w:t>
      </w:r>
    </w:p>
    <w:p w14:paraId="3C3DBD8E" w14:textId="77777777" w:rsidR="00D50B64" w:rsidRPr="005B3080" w:rsidRDefault="00D50B64" w:rsidP="00D50B64">
      <w:pPr>
        <w:autoSpaceDE w:val="0"/>
        <w:autoSpaceDN w:val="0"/>
        <w:adjustRightInd w:val="0"/>
        <w:spacing w:after="0" w:line="240" w:lineRule="auto"/>
        <w:rPr>
          <w:rFonts w:cs="Calibri"/>
          <w:color w:val="000000"/>
          <w:sz w:val="22"/>
          <w:szCs w:val="22"/>
        </w:rPr>
      </w:pPr>
      <w:r>
        <w:rPr>
          <w:color w:val="000000"/>
          <w:sz w:val="22"/>
          <w:szCs w:val="22"/>
        </w:rPr>
        <w:t>No fraud was identified or reported to us for the 202</w:t>
      </w:r>
      <w:r w:rsidR="005F200C">
        <w:rPr>
          <w:color w:val="000000"/>
          <w:sz w:val="22"/>
          <w:szCs w:val="22"/>
        </w:rPr>
        <w:t>2</w:t>
      </w:r>
      <w:r>
        <w:rPr>
          <w:color w:val="000000"/>
          <w:sz w:val="22"/>
          <w:szCs w:val="22"/>
        </w:rPr>
        <w:t>-2</w:t>
      </w:r>
      <w:r w:rsidR="005F200C">
        <w:rPr>
          <w:color w:val="000000"/>
          <w:sz w:val="22"/>
          <w:szCs w:val="22"/>
        </w:rPr>
        <w:t>3</w:t>
      </w:r>
      <w:r>
        <w:rPr>
          <w:color w:val="000000"/>
          <w:sz w:val="22"/>
          <w:szCs w:val="22"/>
        </w:rPr>
        <w:t xml:space="preserve"> period.</w:t>
      </w:r>
      <w:r w:rsidRPr="005B3080">
        <w:rPr>
          <w:rFonts w:cs="Calibri"/>
          <w:color w:val="000000"/>
          <w:sz w:val="22"/>
          <w:szCs w:val="22"/>
        </w:rPr>
        <w:t xml:space="preserve"> It remains the </w:t>
      </w:r>
      <w:r>
        <w:rPr>
          <w:rFonts w:cs="Calibri"/>
          <w:color w:val="000000"/>
          <w:sz w:val="22"/>
          <w:szCs w:val="22"/>
        </w:rPr>
        <w:t>responsibility:</w:t>
      </w:r>
      <w:r w:rsidRPr="005B3080">
        <w:rPr>
          <w:rFonts w:cs="Calibri"/>
          <w:color w:val="000000"/>
          <w:sz w:val="22"/>
          <w:szCs w:val="22"/>
        </w:rPr>
        <w:t xml:space="preserve"> of management to manage the control environment to help identify potential fraud and prevent the likelihood of fraud occurring. </w:t>
      </w:r>
    </w:p>
    <w:p w14:paraId="279DBD17" w14:textId="77777777" w:rsidR="00D50B64" w:rsidRDefault="00D50B64" w:rsidP="00D50B64">
      <w:pPr>
        <w:tabs>
          <w:tab w:val="left" w:pos="13125"/>
          <w:tab w:val="left" w:pos="14160"/>
        </w:tabs>
        <w:spacing w:after="0" w:line="240" w:lineRule="auto"/>
        <w:ind w:right="917"/>
        <w:rPr>
          <w:rFonts w:eastAsia="Arial Unicode MS"/>
          <w:b/>
          <w:color w:val="3C3060"/>
          <w:sz w:val="32"/>
          <w:szCs w:val="32"/>
        </w:rPr>
      </w:pPr>
    </w:p>
    <w:p w14:paraId="696BE04A" w14:textId="77777777" w:rsidR="00D50B64" w:rsidRDefault="00D50B64" w:rsidP="00D50B64">
      <w:pPr>
        <w:tabs>
          <w:tab w:val="left" w:pos="13125"/>
          <w:tab w:val="left" w:pos="14160"/>
        </w:tabs>
        <w:spacing w:after="0" w:line="240" w:lineRule="auto"/>
        <w:ind w:right="917"/>
        <w:rPr>
          <w:rFonts w:eastAsia="Arial Unicode MS"/>
          <w:b/>
          <w:color w:val="3C3060"/>
          <w:sz w:val="32"/>
          <w:szCs w:val="32"/>
        </w:rPr>
      </w:pPr>
    </w:p>
    <w:p w14:paraId="6A8854EA" w14:textId="77777777" w:rsidR="00D50B64" w:rsidRDefault="00D50B64" w:rsidP="00D50B64">
      <w:pPr>
        <w:tabs>
          <w:tab w:val="left" w:pos="13125"/>
          <w:tab w:val="left" w:pos="14160"/>
        </w:tabs>
        <w:spacing w:after="0" w:line="240" w:lineRule="auto"/>
        <w:ind w:right="917"/>
        <w:rPr>
          <w:rFonts w:eastAsia="Arial Unicode MS"/>
          <w:b/>
          <w:color w:val="3C3060"/>
          <w:sz w:val="32"/>
          <w:szCs w:val="32"/>
        </w:rPr>
      </w:pPr>
    </w:p>
    <w:p w14:paraId="0B2E93A4" w14:textId="77777777" w:rsidR="00D50B64" w:rsidRDefault="00D50B64" w:rsidP="00D50B64">
      <w:pPr>
        <w:tabs>
          <w:tab w:val="left" w:pos="13125"/>
          <w:tab w:val="left" w:pos="14160"/>
        </w:tabs>
        <w:spacing w:after="0" w:line="240" w:lineRule="auto"/>
        <w:ind w:right="917"/>
        <w:rPr>
          <w:rFonts w:eastAsia="Arial Unicode MS"/>
          <w:b/>
          <w:color w:val="3C3060"/>
          <w:sz w:val="32"/>
          <w:szCs w:val="32"/>
        </w:rPr>
      </w:pPr>
    </w:p>
    <w:p w14:paraId="14E2AD02" w14:textId="77777777" w:rsidR="00D50B64" w:rsidRDefault="00D50B64" w:rsidP="00D50B64">
      <w:pPr>
        <w:tabs>
          <w:tab w:val="left" w:pos="13125"/>
          <w:tab w:val="left" w:pos="14160"/>
        </w:tabs>
        <w:spacing w:after="0" w:line="240" w:lineRule="auto"/>
        <w:ind w:right="917"/>
        <w:rPr>
          <w:rFonts w:eastAsia="Arial Unicode MS"/>
          <w:b/>
          <w:color w:val="3C3060"/>
          <w:sz w:val="32"/>
          <w:szCs w:val="32"/>
        </w:rPr>
      </w:pPr>
    </w:p>
    <w:p w14:paraId="5713E291" w14:textId="77777777" w:rsidR="00D50B64" w:rsidRDefault="00D50B64" w:rsidP="00D50B64">
      <w:pPr>
        <w:tabs>
          <w:tab w:val="left" w:pos="13125"/>
          <w:tab w:val="left" w:pos="14160"/>
        </w:tabs>
        <w:spacing w:after="0" w:line="240" w:lineRule="auto"/>
        <w:ind w:right="917"/>
        <w:rPr>
          <w:rFonts w:eastAsia="Arial Unicode MS"/>
          <w:b/>
          <w:color w:val="3C3060"/>
          <w:sz w:val="32"/>
          <w:szCs w:val="32"/>
        </w:rPr>
      </w:pPr>
    </w:p>
    <w:p w14:paraId="30E7C166" w14:textId="77777777" w:rsidR="00D50B64" w:rsidRDefault="00D50B64" w:rsidP="00D50B64">
      <w:pPr>
        <w:tabs>
          <w:tab w:val="left" w:pos="13125"/>
          <w:tab w:val="left" w:pos="14160"/>
        </w:tabs>
        <w:spacing w:after="0" w:line="240" w:lineRule="auto"/>
        <w:ind w:right="917"/>
        <w:rPr>
          <w:rFonts w:eastAsia="Arial Unicode MS"/>
          <w:b/>
          <w:color w:val="3C3060"/>
          <w:sz w:val="32"/>
          <w:szCs w:val="32"/>
        </w:rPr>
      </w:pPr>
    </w:p>
    <w:p w14:paraId="45F32F09" w14:textId="77777777" w:rsidR="00D50B64" w:rsidRDefault="00D50B64" w:rsidP="00D50B64">
      <w:pPr>
        <w:tabs>
          <w:tab w:val="left" w:pos="13125"/>
          <w:tab w:val="left" w:pos="14160"/>
        </w:tabs>
        <w:spacing w:after="0" w:line="240" w:lineRule="auto"/>
        <w:ind w:right="917"/>
        <w:rPr>
          <w:rFonts w:eastAsia="Arial Unicode MS"/>
          <w:b/>
          <w:color w:val="3C3060"/>
          <w:sz w:val="32"/>
          <w:szCs w:val="32"/>
        </w:rPr>
      </w:pPr>
    </w:p>
    <w:p w14:paraId="1D6042F7" w14:textId="77777777" w:rsidR="00D50B64" w:rsidRDefault="00D50B64" w:rsidP="00D50B64">
      <w:pPr>
        <w:tabs>
          <w:tab w:val="left" w:pos="13125"/>
          <w:tab w:val="left" w:pos="14160"/>
        </w:tabs>
        <w:spacing w:after="0" w:line="240" w:lineRule="auto"/>
        <w:ind w:right="917"/>
        <w:rPr>
          <w:rFonts w:eastAsia="Arial Unicode MS"/>
          <w:b/>
          <w:color w:val="3C3060"/>
          <w:sz w:val="32"/>
          <w:szCs w:val="32"/>
        </w:rPr>
      </w:pPr>
    </w:p>
    <w:p w14:paraId="10F5B747" w14:textId="77777777" w:rsidR="00D50B64" w:rsidRDefault="00D50B64" w:rsidP="00D50B64">
      <w:pPr>
        <w:tabs>
          <w:tab w:val="left" w:pos="13125"/>
          <w:tab w:val="left" w:pos="14160"/>
        </w:tabs>
        <w:spacing w:after="0" w:line="240" w:lineRule="auto"/>
        <w:ind w:right="917"/>
        <w:rPr>
          <w:rFonts w:eastAsia="Arial Unicode MS"/>
          <w:b/>
          <w:color w:val="3C3060"/>
          <w:sz w:val="32"/>
          <w:szCs w:val="32"/>
        </w:rPr>
      </w:pPr>
    </w:p>
    <w:p w14:paraId="3D84E573" w14:textId="77777777" w:rsidR="00D50B64" w:rsidRPr="00BC4175" w:rsidRDefault="00D50B64" w:rsidP="00143CE0">
      <w:pPr>
        <w:pStyle w:val="Sub-heading"/>
      </w:pPr>
      <w:r w:rsidRPr="00BC4175">
        <w:lastRenderedPageBreak/>
        <w:t>Introduction</w:t>
      </w:r>
    </w:p>
    <w:p w14:paraId="2E6351A2" w14:textId="77777777" w:rsidR="00D50B64" w:rsidRDefault="00D50B64" w:rsidP="00D50B64">
      <w:pPr>
        <w:tabs>
          <w:tab w:val="left" w:pos="13125"/>
          <w:tab w:val="left" w:pos="14160"/>
        </w:tabs>
        <w:spacing w:after="0" w:line="240" w:lineRule="auto"/>
        <w:ind w:right="917"/>
        <w:rPr>
          <w:rFonts w:eastAsia="Arial Unicode MS"/>
          <w:bCs/>
          <w:color w:val="1A1A1A" w:themeColor="text1"/>
          <w:sz w:val="22"/>
          <w:szCs w:val="22"/>
        </w:rPr>
      </w:pPr>
      <w:r>
        <w:rPr>
          <w:rFonts w:eastAsia="Arial Unicode MS"/>
          <w:bCs/>
          <w:color w:val="1A1A1A" w:themeColor="text1"/>
          <w:sz w:val="22"/>
          <w:szCs w:val="22"/>
        </w:rPr>
        <w:t xml:space="preserve">The Academy trust handbook section 3.1 specifies “all academy trusts </w:t>
      </w:r>
      <w:r w:rsidRPr="00267C90">
        <w:rPr>
          <w:rFonts w:eastAsia="Arial Unicode MS"/>
          <w:b/>
          <w:color w:val="1A1A1A" w:themeColor="text1"/>
          <w:sz w:val="22"/>
          <w:szCs w:val="22"/>
        </w:rPr>
        <w:t>must</w:t>
      </w:r>
      <w:r>
        <w:rPr>
          <w:rFonts w:eastAsia="Arial Unicode MS"/>
          <w:bCs/>
          <w:color w:val="1A1A1A" w:themeColor="text1"/>
          <w:sz w:val="22"/>
          <w:szCs w:val="22"/>
        </w:rPr>
        <w:t xml:space="preserve"> have a programme of internal scrutiny to provide independent assurance to the board that its financial and non-financial controls and risk management procedures are operating effectively”.  Providing that the trust has selected a scope of work for financial and non-financial controls and has considered its risk register, this Internal Scrutiny Report demonstrates how the trust meets the Academy trust handbook 202</w:t>
      </w:r>
      <w:r w:rsidR="00DB3654">
        <w:rPr>
          <w:rFonts w:eastAsia="Arial Unicode MS"/>
          <w:bCs/>
          <w:color w:val="1A1A1A" w:themeColor="text1"/>
          <w:sz w:val="22"/>
          <w:szCs w:val="22"/>
        </w:rPr>
        <w:t>2</w:t>
      </w:r>
      <w:r>
        <w:rPr>
          <w:rFonts w:eastAsia="Arial Unicode MS"/>
          <w:bCs/>
          <w:color w:val="1A1A1A" w:themeColor="text1"/>
          <w:sz w:val="22"/>
          <w:szCs w:val="22"/>
        </w:rPr>
        <w:t xml:space="preserve"> </w:t>
      </w:r>
      <w:r w:rsidR="004810B6">
        <w:rPr>
          <w:rFonts w:eastAsia="Arial Unicode MS"/>
          <w:bCs/>
          <w:color w:val="1A1A1A" w:themeColor="text1"/>
          <w:sz w:val="22"/>
          <w:szCs w:val="22"/>
        </w:rPr>
        <w:t xml:space="preserve">internal scrutiny </w:t>
      </w:r>
      <w:r>
        <w:rPr>
          <w:rFonts w:eastAsia="Arial Unicode MS"/>
          <w:bCs/>
          <w:color w:val="1A1A1A" w:themeColor="text1"/>
          <w:sz w:val="22"/>
          <w:szCs w:val="22"/>
        </w:rPr>
        <w:t>requiremen</w:t>
      </w:r>
      <w:r w:rsidR="00DB3654">
        <w:rPr>
          <w:rFonts w:eastAsia="Arial Unicode MS"/>
          <w:bCs/>
          <w:color w:val="1A1A1A" w:themeColor="text1"/>
          <w:sz w:val="22"/>
          <w:szCs w:val="22"/>
        </w:rPr>
        <w:t>t</w:t>
      </w:r>
      <w:r w:rsidR="004810B6">
        <w:rPr>
          <w:rFonts w:eastAsia="Arial Unicode MS"/>
          <w:bCs/>
          <w:color w:val="1A1A1A" w:themeColor="text1"/>
          <w:sz w:val="22"/>
          <w:szCs w:val="22"/>
        </w:rPr>
        <w:t>s.</w:t>
      </w:r>
    </w:p>
    <w:p w14:paraId="333F7A0F" w14:textId="77777777" w:rsidR="00DB3654" w:rsidRDefault="00DB3654" w:rsidP="00D50B64">
      <w:pPr>
        <w:tabs>
          <w:tab w:val="left" w:pos="13125"/>
          <w:tab w:val="left" w:pos="14160"/>
        </w:tabs>
        <w:spacing w:after="0" w:line="240" w:lineRule="auto"/>
        <w:ind w:right="917"/>
        <w:rPr>
          <w:rFonts w:eastAsia="Arial Unicode MS"/>
          <w:bCs/>
          <w:color w:val="1A1A1A" w:themeColor="text1"/>
          <w:sz w:val="22"/>
          <w:szCs w:val="22"/>
        </w:rPr>
      </w:pPr>
    </w:p>
    <w:p w14:paraId="253A72DC" w14:textId="77777777" w:rsidR="00D50B64" w:rsidRPr="00647ED2" w:rsidRDefault="00D50B64" w:rsidP="00DB3654">
      <w:pPr>
        <w:tabs>
          <w:tab w:val="left" w:pos="13125"/>
          <w:tab w:val="left" w:pos="14160"/>
        </w:tabs>
        <w:spacing w:after="0" w:line="240" w:lineRule="auto"/>
        <w:ind w:right="917"/>
        <w:rPr>
          <w:rFonts w:eastAsia="Arial Unicode MS" w:cs="Arial"/>
          <w:b/>
          <w:color w:val="514972" w:themeColor="accent2" w:themeShade="BF"/>
          <w:sz w:val="24"/>
          <w:szCs w:val="28"/>
          <w:lang w:eastAsia="en-GB"/>
        </w:rPr>
      </w:pPr>
      <w:r w:rsidRPr="00647ED2">
        <w:rPr>
          <w:rFonts w:eastAsia="Arial Unicode MS" w:cs="Arial"/>
          <w:b/>
          <w:color w:val="514972" w:themeColor="accent2" w:themeShade="BF"/>
          <w:sz w:val="24"/>
          <w:szCs w:val="28"/>
          <w:lang w:eastAsia="en-GB"/>
        </w:rPr>
        <w:t>Please note that this report is an exception report and therefore only contains the details of any issues arising from the review of the scope of work detailed below.</w:t>
      </w:r>
    </w:p>
    <w:p w14:paraId="4E551A7E" w14:textId="77777777" w:rsidR="00D50B64" w:rsidRDefault="00D50B64" w:rsidP="00D50B64">
      <w:pPr>
        <w:tabs>
          <w:tab w:val="left" w:pos="13125"/>
          <w:tab w:val="left" w:pos="14160"/>
        </w:tabs>
        <w:spacing w:after="0" w:line="240" w:lineRule="auto"/>
        <w:ind w:right="917"/>
        <w:rPr>
          <w:rFonts w:eastAsia="Arial Unicode MS"/>
          <w:bCs/>
          <w:color w:val="1A1A1A" w:themeColor="text1"/>
          <w:sz w:val="22"/>
          <w:szCs w:val="22"/>
        </w:rPr>
      </w:pPr>
    </w:p>
    <w:p w14:paraId="355E2E01" w14:textId="77777777" w:rsidR="00B449C8" w:rsidRDefault="00B449C8">
      <w:pPr>
        <w:suppressAutoHyphens w:val="0"/>
        <w:spacing w:before="0" w:after="0" w:line="240" w:lineRule="auto"/>
        <w:rPr>
          <w:rFonts w:ascii="Franklin Gothic Medium" w:eastAsia="Arial Unicode MS" w:hAnsi="Franklin Gothic Medium" w:cs="Times New Roman (Headings CS)"/>
          <w:color w:val="2C1B57" w:themeColor="accent1" w:themeTint="E6"/>
          <w:sz w:val="28"/>
          <w:szCs w:val="30"/>
        </w:rPr>
      </w:pPr>
      <w:r>
        <w:br w:type="page"/>
      </w:r>
    </w:p>
    <w:p w14:paraId="31E632EF" w14:textId="728D64BA" w:rsidR="00D50B64" w:rsidRPr="00BC4175" w:rsidRDefault="00D50B64" w:rsidP="00143CE0">
      <w:pPr>
        <w:pStyle w:val="Sub-heading"/>
      </w:pPr>
      <w:r w:rsidRPr="00BC4175">
        <w:t>Scope</w:t>
      </w:r>
    </w:p>
    <w:p w14:paraId="673CC886" w14:textId="77777777" w:rsidR="00D50B64" w:rsidRPr="00267C90" w:rsidRDefault="00D50B64" w:rsidP="00D50B64">
      <w:pPr>
        <w:tabs>
          <w:tab w:val="left" w:pos="13125"/>
          <w:tab w:val="left" w:pos="14160"/>
        </w:tabs>
        <w:spacing w:after="0" w:line="240" w:lineRule="auto"/>
        <w:ind w:right="917"/>
        <w:rPr>
          <w:rFonts w:eastAsia="Arial Unicode MS"/>
          <w:bCs/>
          <w:color w:val="1A1A1A" w:themeColor="text1"/>
          <w:sz w:val="22"/>
          <w:szCs w:val="22"/>
        </w:rPr>
      </w:pPr>
      <w:r>
        <w:rPr>
          <w:rFonts w:eastAsia="Arial Unicode MS"/>
          <w:bCs/>
          <w:color w:val="1A1A1A" w:themeColor="text1"/>
          <w:sz w:val="22"/>
          <w:szCs w:val="22"/>
        </w:rPr>
        <w:t>The relevant board</w:t>
      </w:r>
      <w:r w:rsidR="00A16EF9">
        <w:rPr>
          <w:rFonts w:eastAsia="Arial Unicode MS"/>
          <w:bCs/>
          <w:color w:val="1A1A1A" w:themeColor="text1"/>
          <w:sz w:val="22"/>
          <w:szCs w:val="22"/>
        </w:rPr>
        <w:t>, informed by its risk register</w:t>
      </w:r>
      <w:r>
        <w:rPr>
          <w:rFonts w:eastAsia="Arial Unicode MS"/>
          <w:bCs/>
          <w:color w:val="1A1A1A" w:themeColor="text1"/>
          <w:sz w:val="22"/>
          <w:szCs w:val="22"/>
        </w:rPr>
        <w:t xml:space="preserve"> approved the below scope of work:</w:t>
      </w:r>
    </w:p>
    <w:p w14:paraId="21E5A462" w14:textId="77777777" w:rsidR="00D50B64" w:rsidRDefault="00D50B64" w:rsidP="00D50B64">
      <w:pPr>
        <w:rPr>
          <w:rFonts w:eastAsia="Arial Unicode MS"/>
          <w:bCs/>
          <w:color w:val="1A1A1A" w:themeColor="text1"/>
          <w:sz w:val="22"/>
          <w:szCs w:val="22"/>
        </w:rPr>
      </w:pPr>
    </w:p>
    <w:tbl>
      <w:tblPr>
        <w:tblW w:w="12220" w:type="dxa"/>
        <w:tblLook w:val="04A0" w:firstRow="1" w:lastRow="0" w:firstColumn="1" w:lastColumn="0" w:noHBand="0" w:noVBand="1"/>
      </w:tblPr>
      <w:tblGrid>
        <w:gridCol w:w="6016"/>
        <w:gridCol w:w="222"/>
        <w:gridCol w:w="6016"/>
      </w:tblGrid>
      <w:tr w:rsidR="002167E5" w:rsidRPr="002167E5" w14:paraId="0B81287E" w14:textId="77777777" w:rsidTr="002167E5">
        <w:trPr>
          <w:trHeight w:val="336"/>
        </w:trPr>
        <w:tc>
          <w:tcPr>
            <w:tcW w:w="6016" w:type="dxa"/>
            <w:tcBorders>
              <w:top w:val="single" w:sz="8" w:space="0" w:color="auto"/>
              <w:left w:val="single" w:sz="8" w:space="0" w:color="auto"/>
              <w:bottom w:val="single" w:sz="8" w:space="0" w:color="auto"/>
              <w:right w:val="nil"/>
            </w:tcBorders>
            <w:shd w:val="clear" w:color="000000" w:fill="2C2242"/>
            <w:vAlign w:val="center"/>
            <w:hideMark/>
          </w:tcPr>
          <w:p w14:paraId="7814B018" w14:textId="77777777" w:rsidR="002167E5" w:rsidRPr="002167E5" w:rsidRDefault="002167E5" w:rsidP="002167E5">
            <w:pPr>
              <w:suppressAutoHyphens w:val="0"/>
              <w:spacing w:before="0" w:after="0" w:line="240" w:lineRule="auto"/>
              <w:rPr>
                <w:rFonts w:eastAsia="Times New Roman" w:cs="Calibri"/>
                <w:b/>
                <w:bCs/>
                <w:color w:val="FFFFFF"/>
                <w:sz w:val="22"/>
                <w:szCs w:val="22"/>
                <w:lang w:eastAsia="en-GB"/>
                <w14:ligatures w14:val="none"/>
              </w:rPr>
            </w:pPr>
            <w:r w:rsidRPr="002167E5">
              <w:rPr>
                <w:rFonts w:eastAsia="Times New Roman" w:cs="Calibri"/>
                <w:b/>
                <w:bCs/>
                <w:color w:val="FFFFFF"/>
                <w:sz w:val="22"/>
                <w:szCs w:val="22"/>
                <w:lang w:eastAsia="en-GB"/>
                <w14:ligatures w14:val="none"/>
              </w:rPr>
              <w:t>Procurement</w:t>
            </w:r>
          </w:p>
        </w:tc>
        <w:tc>
          <w:tcPr>
            <w:tcW w:w="188" w:type="dxa"/>
            <w:tcBorders>
              <w:top w:val="nil"/>
              <w:left w:val="nil"/>
              <w:bottom w:val="nil"/>
              <w:right w:val="nil"/>
            </w:tcBorders>
            <w:shd w:val="clear" w:color="auto" w:fill="auto"/>
            <w:noWrap/>
            <w:vAlign w:val="bottom"/>
            <w:hideMark/>
          </w:tcPr>
          <w:p w14:paraId="4CB47584" w14:textId="77777777" w:rsidR="002167E5" w:rsidRPr="002167E5" w:rsidRDefault="002167E5" w:rsidP="002167E5">
            <w:pPr>
              <w:suppressAutoHyphens w:val="0"/>
              <w:spacing w:before="0" w:after="0" w:line="240" w:lineRule="auto"/>
              <w:rPr>
                <w:rFonts w:eastAsia="Times New Roman" w:cs="Calibri"/>
                <w:b/>
                <w:bCs/>
                <w:color w:val="FFFFFF"/>
                <w:sz w:val="22"/>
                <w:szCs w:val="22"/>
                <w:lang w:eastAsia="en-GB"/>
                <w14:ligatures w14:val="none"/>
              </w:rPr>
            </w:pPr>
          </w:p>
        </w:tc>
        <w:tc>
          <w:tcPr>
            <w:tcW w:w="6016" w:type="dxa"/>
            <w:tcBorders>
              <w:top w:val="single" w:sz="8" w:space="0" w:color="auto"/>
              <w:left w:val="single" w:sz="8" w:space="0" w:color="auto"/>
              <w:bottom w:val="single" w:sz="8" w:space="0" w:color="auto"/>
              <w:right w:val="nil"/>
            </w:tcBorders>
            <w:shd w:val="clear" w:color="000000" w:fill="2C2242"/>
            <w:vAlign w:val="center"/>
            <w:hideMark/>
          </w:tcPr>
          <w:p w14:paraId="420D18E7" w14:textId="77777777" w:rsidR="002167E5" w:rsidRPr="002167E5" w:rsidRDefault="002167E5" w:rsidP="002167E5">
            <w:pPr>
              <w:suppressAutoHyphens w:val="0"/>
              <w:spacing w:before="0" w:after="0" w:line="240" w:lineRule="auto"/>
              <w:rPr>
                <w:rFonts w:eastAsia="Times New Roman" w:cs="Calibri"/>
                <w:b/>
                <w:bCs/>
                <w:color w:val="FFFFFF"/>
                <w:sz w:val="24"/>
                <w:lang w:eastAsia="en-GB"/>
                <w14:ligatures w14:val="none"/>
              </w:rPr>
            </w:pPr>
            <w:r w:rsidRPr="002167E5">
              <w:rPr>
                <w:rFonts w:eastAsia="Times New Roman" w:cs="Calibri"/>
                <w:b/>
                <w:bCs/>
                <w:color w:val="FFFFFF"/>
                <w:sz w:val="24"/>
                <w:lang w:eastAsia="en-GB"/>
                <w14:ligatures w14:val="none"/>
              </w:rPr>
              <w:t>Payroll</w:t>
            </w:r>
          </w:p>
        </w:tc>
      </w:tr>
      <w:tr w:rsidR="002167E5" w:rsidRPr="002167E5" w14:paraId="0551BF4B" w14:textId="77777777" w:rsidTr="002167E5">
        <w:trPr>
          <w:trHeight w:val="1200"/>
        </w:trPr>
        <w:tc>
          <w:tcPr>
            <w:tcW w:w="6016" w:type="dxa"/>
            <w:tcBorders>
              <w:top w:val="single" w:sz="4" w:space="0" w:color="auto"/>
              <w:left w:val="single" w:sz="4" w:space="0" w:color="auto"/>
              <w:bottom w:val="single" w:sz="4" w:space="0" w:color="auto"/>
              <w:right w:val="single" w:sz="4" w:space="0" w:color="auto"/>
            </w:tcBorders>
            <w:shd w:val="clear" w:color="000000" w:fill="BCAAE6"/>
            <w:vAlign w:val="center"/>
            <w:hideMark/>
          </w:tcPr>
          <w:p w14:paraId="74FB23B1" w14:textId="77777777" w:rsidR="002167E5" w:rsidRPr="002167E5" w:rsidRDefault="002167E5" w:rsidP="002167E5">
            <w:pPr>
              <w:suppressAutoHyphens w:val="0"/>
              <w:spacing w:before="0" w:after="0" w:line="240" w:lineRule="auto"/>
              <w:rPr>
                <w:rFonts w:eastAsia="Times New Roman" w:cs="Calibri"/>
                <w:color w:val="1A1A1A"/>
                <w:sz w:val="22"/>
                <w:szCs w:val="22"/>
                <w:lang w:eastAsia="en-GB"/>
                <w14:ligatures w14:val="none"/>
              </w:rPr>
            </w:pPr>
            <w:r w:rsidRPr="002167E5">
              <w:rPr>
                <w:rFonts w:eastAsia="Times New Roman" w:cs="Calibri"/>
                <w:color w:val="1A1A1A"/>
                <w:sz w:val="22"/>
                <w:szCs w:val="22"/>
                <w:lang w:eastAsia="en-GB"/>
                <w14:ligatures w14:val="none"/>
              </w:rPr>
              <w:t>Review to establish the effectiveness of controls and processes for all areas of procurement.</w:t>
            </w:r>
          </w:p>
        </w:tc>
        <w:tc>
          <w:tcPr>
            <w:tcW w:w="188" w:type="dxa"/>
            <w:tcBorders>
              <w:top w:val="nil"/>
              <w:left w:val="nil"/>
              <w:bottom w:val="nil"/>
              <w:right w:val="nil"/>
            </w:tcBorders>
            <w:shd w:val="clear" w:color="auto" w:fill="auto"/>
            <w:noWrap/>
            <w:vAlign w:val="bottom"/>
            <w:hideMark/>
          </w:tcPr>
          <w:p w14:paraId="619526CC" w14:textId="77777777" w:rsidR="002167E5" w:rsidRPr="002167E5" w:rsidRDefault="002167E5" w:rsidP="002167E5">
            <w:pPr>
              <w:suppressAutoHyphens w:val="0"/>
              <w:spacing w:before="0" w:after="0" w:line="240" w:lineRule="auto"/>
              <w:rPr>
                <w:rFonts w:eastAsia="Times New Roman" w:cs="Calibri"/>
                <w:color w:val="1A1A1A"/>
                <w:sz w:val="22"/>
                <w:szCs w:val="22"/>
                <w:lang w:eastAsia="en-GB"/>
                <w14:ligatures w14:val="none"/>
              </w:rPr>
            </w:pPr>
          </w:p>
        </w:tc>
        <w:tc>
          <w:tcPr>
            <w:tcW w:w="6016" w:type="dxa"/>
            <w:tcBorders>
              <w:top w:val="single" w:sz="4" w:space="0" w:color="auto"/>
              <w:left w:val="single" w:sz="4" w:space="0" w:color="auto"/>
              <w:bottom w:val="single" w:sz="4" w:space="0" w:color="auto"/>
              <w:right w:val="single" w:sz="4" w:space="0" w:color="auto"/>
            </w:tcBorders>
            <w:shd w:val="clear" w:color="000000" w:fill="BCAAE6"/>
            <w:vAlign w:val="center"/>
            <w:hideMark/>
          </w:tcPr>
          <w:p w14:paraId="31FE56B9" w14:textId="77777777" w:rsidR="002167E5" w:rsidRPr="002167E5" w:rsidRDefault="002167E5" w:rsidP="002167E5">
            <w:pPr>
              <w:suppressAutoHyphens w:val="0"/>
              <w:spacing w:before="0" w:after="0" w:line="240" w:lineRule="auto"/>
              <w:rPr>
                <w:rFonts w:eastAsia="Times New Roman" w:cs="Calibri"/>
                <w:color w:val="1A1A1A"/>
                <w:sz w:val="22"/>
                <w:szCs w:val="22"/>
                <w:lang w:eastAsia="en-GB"/>
                <w14:ligatures w14:val="none"/>
              </w:rPr>
            </w:pPr>
            <w:r w:rsidRPr="002167E5">
              <w:rPr>
                <w:rFonts w:eastAsia="Times New Roman" w:cs="Calibri"/>
                <w:color w:val="1A1A1A"/>
                <w:sz w:val="22"/>
                <w:szCs w:val="22"/>
                <w:lang w:eastAsia="en-GB"/>
                <w14:ligatures w14:val="none"/>
              </w:rPr>
              <w:t>Review to determine the appropriateness and effectiveness of the controls and processes in place, around administration, approval, and segregation of duties in all areas of payroll processing.</w:t>
            </w:r>
          </w:p>
        </w:tc>
      </w:tr>
      <w:tr w:rsidR="002167E5" w:rsidRPr="002167E5" w14:paraId="07D46B0C" w14:textId="77777777" w:rsidTr="002167E5">
        <w:trPr>
          <w:trHeight w:val="312"/>
        </w:trPr>
        <w:tc>
          <w:tcPr>
            <w:tcW w:w="6016" w:type="dxa"/>
            <w:tcBorders>
              <w:top w:val="nil"/>
              <w:left w:val="single" w:sz="4" w:space="0" w:color="auto"/>
              <w:bottom w:val="single" w:sz="4" w:space="0" w:color="auto"/>
              <w:right w:val="single" w:sz="4" w:space="0" w:color="auto"/>
            </w:tcBorders>
            <w:shd w:val="clear" w:color="000000" w:fill="FFFFFF"/>
            <w:hideMark/>
          </w:tcPr>
          <w:p w14:paraId="2C2449AF" w14:textId="77777777" w:rsidR="002167E5" w:rsidRPr="002167E5" w:rsidRDefault="002167E5" w:rsidP="002167E5">
            <w:pPr>
              <w:suppressAutoHyphens w:val="0"/>
              <w:spacing w:before="0" w:after="0" w:line="240" w:lineRule="auto"/>
              <w:rPr>
                <w:rFonts w:eastAsia="Times New Roman" w:cs="Calibri"/>
                <w:color w:val="1A1A1A"/>
                <w:sz w:val="22"/>
                <w:szCs w:val="22"/>
                <w:lang w:eastAsia="en-GB"/>
                <w14:ligatures w14:val="none"/>
              </w:rPr>
            </w:pPr>
            <w:r w:rsidRPr="002167E5">
              <w:rPr>
                <w:rFonts w:eastAsia="Times New Roman" w:cs="Calibri"/>
                <w:color w:val="1A1A1A"/>
                <w:sz w:val="22"/>
                <w:szCs w:val="22"/>
                <w:lang w:eastAsia="en-GB"/>
                <w14:ligatures w14:val="none"/>
              </w:rPr>
              <w:t>Related party transactions</w:t>
            </w:r>
          </w:p>
        </w:tc>
        <w:tc>
          <w:tcPr>
            <w:tcW w:w="188" w:type="dxa"/>
            <w:tcBorders>
              <w:top w:val="nil"/>
              <w:left w:val="nil"/>
              <w:bottom w:val="nil"/>
              <w:right w:val="nil"/>
            </w:tcBorders>
            <w:shd w:val="clear" w:color="auto" w:fill="auto"/>
            <w:noWrap/>
            <w:vAlign w:val="bottom"/>
            <w:hideMark/>
          </w:tcPr>
          <w:p w14:paraId="072B8336" w14:textId="77777777" w:rsidR="002167E5" w:rsidRPr="002167E5" w:rsidRDefault="002167E5" w:rsidP="002167E5">
            <w:pPr>
              <w:suppressAutoHyphens w:val="0"/>
              <w:spacing w:before="0" w:after="0" w:line="240" w:lineRule="auto"/>
              <w:rPr>
                <w:rFonts w:eastAsia="Times New Roman" w:cs="Calibri"/>
                <w:color w:val="1A1A1A"/>
                <w:sz w:val="22"/>
                <w:szCs w:val="22"/>
                <w:lang w:eastAsia="en-GB"/>
                <w14:ligatures w14:val="none"/>
              </w:rPr>
            </w:pPr>
          </w:p>
        </w:tc>
        <w:tc>
          <w:tcPr>
            <w:tcW w:w="6016" w:type="dxa"/>
            <w:tcBorders>
              <w:top w:val="nil"/>
              <w:left w:val="single" w:sz="4" w:space="0" w:color="auto"/>
              <w:bottom w:val="single" w:sz="4" w:space="0" w:color="auto"/>
              <w:right w:val="single" w:sz="4" w:space="0" w:color="auto"/>
            </w:tcBorders>
            <w:shd w:val="clear" w:color="000000" w:fill="FFFFFF"/>
            <w:hideMark/>
          </w:tcPr>
          <w:p w14:paraId="2B5570C8" w14:textId="77777777" w:rsidR="002167E5" w:rsidRPr="002167E5" w:rsidRDefault="002167E5" w:rsidP="002167E5">
            <w:pPr>
              <w:suppressAutoHyphens w:val="0"/>
              <w:spacing w:before="0" w:after="0" w:line="240" w:lineRule="auto"/>
              <w:rPr>
                <w:rFonts w:eastAsia="Times New Roman" w:cs="Calibri"/>
                <w:color w:val="1A1A1A"/>
                <w:sz w:val="22"/>
                <w:szCs w:val="22"/>
                <w:lang w:eastAsia="en-GB"/>
                <w14:ligatures w14:val="none"/>
              </w:rPr>
            </w:pPr>
            <w:r w:rsidRPr="002167E5">
              <w:rPr>
                <w:rFonts w:eastAsia="Times New Roman" w:cs="Calibri"/>
                <w:color w:val="1A1A1A"/>
                <w:sz w:val="22"/>
                <w:szCs w:val="22"/>
                <w:lang w:eastAsia="en-GB"/>
                <w14:ligatures w14:val="none"/>
              </w:rPr>
              <w:t>Payroll process</w:t>
            </w:r>
          </w:p>
        </w:tc>
      </w:tr>
      <w:tr w:rsidR="002167E5" w:rsidRPr="002167E5" w14:paraId="620C9EE2" w14:textId="77777777" w:rsidTr="002167E5">
        <w:trPr>
          <w:trHeight w:val="312"/>
        </w:trPr>
        <w:tc>
          <w:tcPr>
            <w:tcW w:w="6016" w:type="dxa"/>
            <w:tcBorders>
              <w:top w:val="nil"/>
              <w:left w:val="single" w:sz="4" w:space="0" w:color="auto"/>
              <w:bottom w:val="single" w:sz="4" w:space="0" w:color="auto"/>
              <w:right w:val="single" w:sz="4" w:space="0" w:color="auto"/>
            </w:tcBorders>
            <w:shd w:val="clear" w:color="auto" w:fill="auto"/>
            <w:hideMark/>
          </w:tcPr>
          <w:p w14:paraId="7B1B5C49" w14:textId="77777777" w:rsidR="002167E5" w:rsidRPr="002167E5" w:rsidRDefault="002167E5" w:rsidP="002167E5">
            <w:pPr>
              <w:suppressAutoHyphens w:val="0"/>
              <w:spacing w:before="0" w:after="0" w:line="240" w:lineRule="auto"/>
              <w:rPr>
                <w:rFonts w:eastAsia="Times New Roman" w:cs="Calibri"/>
                <w:color w:val="1A1A1A"/>
                <w:sz w:val="22"/>
                <w:szCs w:val="22"/>
                <w:lang w:eastAsia="en-GB"/>
                <w14:ligatures w14:val="none"/>
              </w:rPr>
            </w:pPr>
            <w:r w:rsidRPr="002167E5">
              <w:rPr>
                <w:rFonts w:eastAsia="Times New Roman" w:cs="Calibri"/>
                <w:color w:val="1A1A1A"/>
                <w:sz w:val="22"/>
                <w:szCs w:val="22"/>
                <w:lang w:eastAsia="en-GB"/>
                <w14:ligatures w14:val="none"/>
              </w:rPr>
              <w:t>Purchase card</w:t>
            </w:r>
          </w:p>
        </w:tc>
        <w:tc>
          <w:tcPr>
            <w:tcW w:w="188" w:type="dxa"/>
            <w:tcBorders>
              <w:top w:val="nil"/>
              <w:left w:val="nil"/>
              <w:bottom w:val="nil"/>
              <w:right w:val="nil"/>
            </w:tcBorders>
            <w:shd w:val="clear" w:color="auto" w:fill="auto"/>
            <w:noWrap/>
            <w:vAlign w:val="bottom"/>
            <w:hideMark/>
          </w:tcPr>
          <w:p w14:paraId="63B04DCF" w14:textId="77777777" w:rsidR="002167E5" w:rsidRPr="002167E5" w:rsidRDefault="002167E5" w:rsidP="002167E5">
            <w:pPr>
              <w:suppressAutoHyphens w:val="0"/>
              <w:spacing w:before="0" w:after="0" w:line="240" w:lineRule="auto"/>
              <w:rPr>
                <w:rFonts w:eastAsia="Times New Roman" w:cs="Calibri"/>
                <w:color w:val="1A1A1A"/>
                <w:sz w:val="22"/>
                <w:szCs w:val="22"/>
                <w:lang w:eastAsia="en-GB"/>
                <w14:ligatures w14:val="none"/>
              </w:rPr>
            </w:pPr>
          </w:p>
        </w:tc>
        <w:tc>
          <w:tcPr>
            <w:tcW w:w="6016" w:type="dxa"/>
            <w:tcBorders>
              <w:top w:val="nil"/>
              <w:left w:val="single" w:sz="4" w:space="0" w:color="auto"/>
              <w:bottom w:val="single" w:sz="4" w:space="0" w:color="auto"/>
              <w:right w:val="single" w:sz="4" w:space="0" w:color="auto"/>
            </w:tcBorders>
            <w:shd w:val="clear" w:color="auto" w:fill="auto"/>
            <w:hideMark/>
          </w:tcPr>
          <w:p w14:paraId="7DA5F09C" w14:textId="77777777" w:rsidR="002167E5" w:rsidRPr="002167E5" w:rsidRDefault="002167E5" w:rsidP="002167E5">
            <w:pPr>
              <w:suppressAutoHyphens w:val="0"/>
              <w:spacing w:before="0" w:after="0" w:line="240" w:lineRule="auto"/>
              <w:rPr>
                <w:rFonts w:eastAsia="Times New Roman" w:cs="Calibri"/>
                <w:color w:val="1A1A1A"/>
                <w:sz w:val="22"/>
                <w:szCs w:val="22"/>
                <w:lang w:eastAsia="en-GB"/>
                <w14:ligatures w14:val="none"/>
              </w:rPr>
            </w:pPr>
            <w:r w:rsidRPr="002167E5">
              <w:rPr>
                <w:rFonts w:eastAsia="Times New Roman" w:cs="Calibri"/>
                <w:color w:val="1A1A1A"/>
                <w:sz w:val="22"/>
                <w:szCs w:val="22"/>
                <w:lang w:eastAsia="en-GB"/>
                <w14:ligatures w14:val="none"/>
              </w:rPr>
              <w:t>Segregation of duties</w:t>
            </w:r>
          </w:p>
        </w:tc>
      </w:tr>
      <w:tr w:rsidR="002167E5" w:rsidRPr="002167E5" w14:paraId="24F6A7FC" w14:textId="77777777" w:rsidTr="002167E5">
        <w:trPr>
          <w:trHeight w:val="375"/>
        </w:trPr>
        <w:tc>
          <w:tcPr>
            <w:tcW w:w="6016" w:type="dxa"/>
            <w:tcBorders>
              <w:top w:val="nil"/>
              <w:left w:val="single" w:sz="4" w:space="0" w:color="auto"/>
              <w:bottom w:val="single" w:sz="4" w:space="0" w:color="auto"/>
              <w:right w:val="single" w:sz="4" w:space="0" w:color="auto"/>
            </w:tcBorders>
            <w:shd w:val="clear" w:color="auto" w:fill="auto"/>
            <w:hideMark/>
          </w:tcPr>
          <w:p w14:paraId="19383B04" w14:textId="77777777" w:rsidR="002167E5" w:rsidRPr="002167E5" w:rsidRDefault="002167E5" w:rsidP="002167E5">
            <w:pPr>
              <w:suppressAutoHyphens w:val="0"/>
              <w:spacing w:before="0" w:after="0" w:line="240" w:lineRule="auto"/>
              <w:rPr>
                <w:rFonts w:eastAsia="Times New Roman" w:cs="Calibri"/>
                <w:sz w:val="22"/>
                <w:szCs w:val="22"/>
                <w:lang w:eastAsia="en-GB"/>
                <w14:ligatures w14:val="none"/>
              </w:rPr>
            </w:pPr>
            <w:r w:rsidRPr="002167E5">
              <w:rPr>
                <w:rFonts w:eastAsia="Times New Roman" w:cs="Calibri"/>
                <w:sz w:val="22"/>
                <w:szCs w:val="22"/>
                <w:lang w:eastAsia="en-GB"/>
                <w14:ligatures w14:val="none"/>
              </w:rPr>
              <w:t>Quotations</w:t>
            </w:r>
          </w:p>
        </w:tc>
        <w:tc>
          <w:tcPr>
            <w:tcW w:w="188" w:type="dxa"/>
            <w:tcBorders>
              <w:top w:val="nil"/>
              <w:left w:val="nil"/>
              <w:bottom w:val="nil"/>
              <w:right w:val="nil"/>
            </w:tcBorders>
            <w:shd w:val="clear" w:color="auto" w:fill="auto"/>
            <w:noWrap/>
            <w:vAlign w:val="bottom"/>
            <w:hideMark/>
          </w:tcPr>
          <w:p w14:paraId="1D3CC60C" w14:textId="77777777" w:rsidR="002167E5" w:rsidRPr="002167E5" w:rsidRDefault="002167E5" w:rsidP="002167E5">
            <w:pPr>
              <w:suppressAutoHyphens w:val="0"/>
              <w:spacing w:before="0" w:after="0" w:line="240" w:lineRule="auto"/>
              <w:rPr>
                <w:rFonts w:eastAsia="Times New Roman" w:cs="Calibri"/>
                <w:sz w:val="22"/>
                <w:szCs w:val="22"/>
                <w:lang w:eastAsia="en-GB"/>
                <w14:ligatures w14:val="none"/>
              </w:rPr>
            </w:pPr>
          </w:p>
        </w:tc>
        <w:tc>
          <w:tcPr>
            <w:tcW w:w="6016" w:type="dxa"/>
            <w:tcBorders>
              <w:top w:val="nil"/>
              <w:left w:val="single" w:sz="4" w:space="0" w:color="auto"/>
              <w:bottom w:val="single" w:sz="4" w:space="0" w:color="auto"/>
              <w:right w:val="single" w:sz="4" w:space="0" w:color="auto"/>
            </w:tcBorders>
            <w:shd w:val="clear" w:color="auto" w:fill="auto"/>
            <w:hideMark/>
          </w:tcPr>
          <w:p w14:paraId="3F8679AD" w14:textId="77777777" w:rsidR="002167E5" w:rsidRPr="002167E5" w:rsidRDefault="002167E5" w:rsidP="002167E5">
            <w:pPr>
              <w:suppressAutoHyphens w:val="0"/>
              <w:spacing w:before="0" w:after="0" w:line="240" w:lineRule="auto"/>
              <w:rPr>
                <w:rFonts w:eastAsia="Times New Roman" w:cs="Calibri"/>
                <w:sz w:val="22"/>
                <w:szCs w:val="22"/>
                <w:lang w:eastAsia="en-GB"/>
                <w14:ligatures w14:val="none"/>
              </w:rPr>
            </w:pPr>
            <w:r w:rsidRPr="002167E5">
              <w:rPr>
                <w:rFonts w:eastAsia="Times New Roman" w:cs="Calibri"/>
                <w:sz w:val="22"/>
                <w:szCs w:val="22"/>
                <w:lang w:eastAsia="en-GB"/>
                <w14:ligatures w14:val="none"/>
              </w:rPr>
              <w:t>Financial regulations</w:t>
            </w:r>
          </w:p>
        </w:tc>
      </w:tr>
      <w:tr w:rsidR="002167E5" w:rsidRPr="002167E5" w14:paraId="120A1758" w14:textId="77777777" w:rsidTr="002167E5">
        <w:trPr>
          <w:trHeight w:val="312"/>
        </w:trPr>
        <w:tc>
          <w:tcPr>
            <w:tcW w:w="6016" w:type="dxa"/>
            <w:tcBorders>
              <w:top w:val="nil"/>
              <w:left w:val="single" w:sz="4" w:space="0" w:color="auto"/>
              <w:bottom w:val="single" w:sz="4" w:space="0" w:color="auto"/>
              <w:right w:val="single" w:sz="4" w:space="0" w:color="auto"/>
            </w:tcBorders>
            <w:shd w:val="clear" w:color="auto" w:fill="auto"/>
            <w:hideMark/>
          </w:tcPr>
          <w:p w14:paraId="259722A0" w14:textId="77777777" w:rsidR="002167E5" w:rsidRPr="002167E5" w:rsidRDefault="002167E5" w:rsidP="002167E5">
            <w:pPr>
              <w:suppressAutoHyphens w:val="0"/>
              <w:spacing w:before="0" w:after="0" w:line="240" w:lineRule="auto"/>
              <w:rPr>
                <w:rFonts w:eastAsia="Times New Roman" w:cs="Calibri"/>
                <w:color w:val="1A1A1A"/>
                <w:sz w:val="22"/>
                <w:szCs w:val="22"/>
                <w:lang w:eastAsia="en-GB"/>
                <w14:ligatures w14:val="none"/>
              </w:rPr>
            </w:pPr>
            <w:r w:rsidRPr="002167E5">
              <w:rPr>
                <w:rFonts w:eastAsia="Times New Roman" w:cs="Calibri"/>
                <w:color w:val="1A1A1A"/>
                <w:sz w:val="22"/>
                <w:szCs w:val="22"/>
                <w:lang w:eastAsia="en-GB"/>
                <w14:ligatures w14:val="none"/>
              </w:rPr>
              <w:t>Tenders</w:t>
            </w:r>
          </w:p>
        </w:tc>
        <w:tc>
          <w:tcPr>
            <w:tcW w:w="188" w:type="dxa"/>
            <w:tcBorders>
              <w:top w:val="nil"/>
              <w:left w:val="nil"/>
              <w:bottom w:val="nil"/>
              <w:right w:val="nil"/>
            </w:tcBorders>
            <w:shd w:val="clear" w:color="auto" w:fill="auto"/>
            <w:noWrap/>
            <w:vAlign w:val="bottom"/>
            <w:hideMark/>
          </w:tcPr>
          <w:p w14:paraId="321810D1" w14:textId="77777777" w:rsidR="002167E5" w:rsidRPr="002167E5" w:rsidRDefault="002167E5" w:rsidP="002167E5">
            <w:pPr>
              <w:suppressAutoHyphens w:val="0"/>
              <w:spacing w:before="0" w:after="0" w:line="240" w:lineRule="auto"/>
              <w:rPr>
                <w:rFonts w:eastAsia="Times New Roman" w:cs="Calibri"/>
                <w:color w:val="1A1A1A"/>
                <w:sz w:val="22"/>
                <w:szCs w:val="22"/>
                <w:lang w:eastAsia="en-GB"/>
                <w14:ligatures w14:val="none"/>
              </w:rPr>
            </w:pPr>
          </w:p>
        </w:tc>
        <w:tc>
          <w:tcPr>
            <w:tcW w:w="6016" w:type="dxa"/>
            <w:tcBorders>
              <w:top w:val="nil"/>
              <w:left w:val="single" w:sz="4" w:space="0" w:color="auto"/>
              <w:bottom w:val="single" w:sz="4" w:space="0" w:color="auto"/>
              <w:right w:val="single" w:sz="4" w:space="0" w:color="auto"/>
            </w:tcBorders>
            <w:shd w:val="clear" w:color="auto" w:fill="auto"/>
            <w:hideMark/>
          </w:tcPr>
          <w:p w14:paraId="604A00B5" w14:textId="77777777" w:rsidR="002167E5" w:rsidRPr="002167E5" w:rsidRDefault="002167E5" w:rsidP="002167E5">
            <w:pPr>
              <w:suppressAutoHyphens w:val="0"/>
              <w:spacing w:before="0" w:after="0" w:line="240" w:lineRule="auto"/>
              <w:rPr>
                <w:rFonts w:eastAsia="Times New Roman" w:cs="Calibri"/>
                <w:color w:val="1A1A1A"/>
                <w:sz w:val="22"/>
                <w:szCs w:val="22"/>
                <w:lang w:eastAsia="en-GB"/>
                <w14:ligatures w14:val="none"/>
              </w:rPr>
            </w:pPr>
            <w:r w:rsidRPr="002167E5">
              <w:rPr>
                <w:rFonts w:eastAsia="Times New Roman" w:cs="Calibri"/>
                <w:color w:val="1A1A1A"/>
                <w:sz w:val="22"/>
                <w:szCs w:val="22"/>
                <w:lang w:eastAsia="en-GB"/>
                <w14:ligatures w14:val="none"/>
              </w:rPr>
              <w:t>Sample testing</w:t>
            </w:r>
          </w:p>
        </w:tc>
      </w:tr>
      <w:tr w:rsidR="002167E5" w:rsidRPr="002167E5" w14:paraId="64533948" w14:textId="77777777" w:rsidTr="002167E5">
        <w:trPr>
          <w:trHeight w:val="312"/>
        </w:trPr>
        <w:tc>
          <w:tcPr>
            <w:tcW w:w="6016" w:type="dxa"/>
            <w:tcBorders>
              <w:top w:val="nil"/>
              <w:left w:val="single" w:sz="4" w:space="0" w:color="auto"/>
              <w:bottom w:val="single" w:sz="4" w:space="0" w:color="auto"/>
              <w:right w:val="single" w:sz="4" w:space="0" w:color="auto"/>
            </w:tcBorders>
            <w:shd w:val="clear" w:color="auto" w:fill="auto"/>
            <w:vAlign w:val="center"/>
            <w:hideMark/>
          </w:tcPr>
          <w:p w14:paraId="282E3A8D" w14:textId="77777777" w:rsidR="002167E5" w:rsidRPr="002167E5" w:rsidRDefault="002167E5" w:rsidP="002167E5">
            <w:pPr>
              <w:suppressAutoHyphens w:val="0"/>
              <w:spacing w:before="0" w:after="0" w:line="240" w:lineRule="auto"/>
              <w:rPr>
                <w:rFonts w:eastAsia="Times New Roman" w:cs="Calibri"/>
                <w:color w:val="1A1A1A"/>
                <w:sz w:val="22"/>
                <w:szCs w:val="22"/>
                <w:lang w:eastAsia="en-GB"/>
                <w14:ligatures w14:val="none"/>
              </w:rPr>
            </w:pPr>
            <w:r w:rsidRPr="002167E5">
              <w:rPr>
                <w:rFonts w:eastAsia="Times New Roman" w:cs="Calibri"/>
                <w:color w:val="1A1A1A"/>
                <w:sz w:val="22"/>
                <w:szCs w:val="22"/>
                <w:lang w:eastAsia="en-GB"/>
                <w14:ligatures w14:val="none"/>
              </w:rPr>
              <w:t>Authorisation levels</w:t>
            </w:r>
          </w:p>
        </w:tc>
        <w:tc>
          <w:tcPr>
            <w:tcW w:w="188" w:type="dxa"/>
            <w:tcBorders>
              <w:top w:val="nil"/>
              <w:left w:val="nil"/>
              <w:bottom w:val="nil"/>
              <w:right w:val="nil"/>
            </w:tcBorders>
            <w:shd w:val="clear" w:color="auto" w:fill="auto"/>
            <w:noWrap/>
            <w:vAlign w:val="bottom"/>
            <w:hideMark/>
          </w:tcPr>
          <w:p w14:paraId="1088F3D0" w14:textId="77777777" w:rsidR="002167E5" w:rsidRPr="002167E5" w:rsidRDefault="002167E5" w:rsidP="002167E5">
            <w:pPr>
              <w:suppressAutoHyphens w:val="0"/>
              <w:spacing w:before="0" w:after="0" w:line="240" w:lineRule="auto"/>
              <w:rPr>
                <w:rFonts w:eastAsia="Times New Roman" w:cs="Calibri"/>
                <w:color w:val="1A1A1A"/>
                <w:sz w:val="22"/>
                <w:szCs w:val="22"/>
                <w:lang w:eastAsia="en-GB"/>
                <w14:ligatures w14:val="none"/>
              </w:rPr>
            </w:pPr>
          </w:p>
        </w:tc>
        <w:tc>
          <w:tcPr>
            <w:tcW w:w="6016" w:type="dxa"/>
            <w:tcBorders>
              <w:top w:val="nil"/>
              <w:left w:val="single" w:sz="4" w:space="0" w:color="auto"/>
              <w:bottom w:val="single" w:sz="4" w:space="0" w:color="auto"/>
              <w:right w:val="single" w:sz="4" w:space="0" w:color="auto"/>
            </w:tcBorders>
            <w:shd w:val="clear" w:color="auto" w:fill="auto"/>
            <w:vAlign w:val="center"/>
            <w:hideMark/>
          </w:tcPr>
          <w:p w14:paraId="70FE3C11" w14:textId="77777777" w:rsidR="002167E5" w:rsidRPr="002167E5" w:rsidRDefault="002167E5" w:rsidP="002167E5">
            <w:pPr>
              <w:suppressAutoHyphens w:val="0"/>
              <w:spacing w:before="0" w:after="0" w:line="240" w:lineRule="auto"/>
              <w:rPr>
                <w:rFonts w:eastAsia="Times New Roman" w:cs="Calibri"/>
                <w:color w:val="1A1A1A"/>
                <w:sz w:val="22"/>
                <w:szCs w:val="22"/>
                <w:lang w:eastAsia="en-GB"/>
                <w14:ligatures w14:val="none"/>
              </w:rPr>
            </w:pPr>
            <w:r w:rsidRPr="002167E5">
              <w:rPr>
                <w:rFonts w:eastAsia="Times New Roman" w:cs="Calibri"/>
                <w:color w:val="1A1A1A"/>
                <w:sz w:val="22"/>
                <w:szCs w:val="22"/>
                <w:lang w:eastAsia="en-GB"/>
                <w14:ligatures w14:val="none"/>
              </w:rPr>
              <w:t>Mileage and subsistence</w:t>
            </w:r>
          </w:p>
        </w:tc>
      </w:tr>
      <w:tr w:rsidR="002167E5" w:rsidRPr="002167E5" w14:paraId="26D15AC2" w14:textId="77777777" w:rsidTr="002167E5">
        <w:trPr>
          <w:trHeight w:val="312"/>
        </w:trPr>
        <w:tc>
          <w:tcPr>
            <w:tcW w:w="6016" w:type="dxa"/>
            <w:tcBorders>
              <w:top w:val="nil"/>
              <w:left w:val="single" w:sz="4" w:space="0" w:color="auto"/>
              <w:bottom w:val="single" w:sz="4" w:space="0" w:color="auto"/>
              <w:right w:val="single" w:sz="4" w:space="0" w:color="auto"/>
            </w:tcBorders>
            <w:shd w:val="clear" w:color="auto" w:fill="auto"/>
            <w:hideMark/>
          </w:tcPr>
          <w:p w14:paraId="67C96894" w14:textId="77777777" w:rsidR="002167E5" w:rsidRPr="002167E5" w:rsidRDefault="002167E5" w:rsidP="002167E5">
            <w:pPr>
              <w:suppressAutoHyphens w:val="0"/>
              <w:spacing w:before="0" w:after="0" w:line="240" w:lineRule="auto"/>
              <w:rPr>
                <w:rFonts w:eastAsia="Times New Roman" w:cs="Calibri"/>
                <w:color w:val="1A1A1A"/>
                <w:sz w:val="22"/>
                <w:szCs w:val="22"/>
                <w:lang w:eastAsia="en-GB"/>
                <w14:ligatures w14:val="none"/>
              </w:rPr>
            </w:pPr>
            <w:r w:rsidRPr="002167E5">
              <w:rPr>
                <w:rFonts w:eastAsia="Times New Roman" w:cs="Calibri"/>
                <w:color w:val="1A1A1A"/>
                <w:sz w:val="22"/>
                <w:szCs w:val="22"/>
                <w:lang w:eastAsia="en-GB"/>
                <w14:ligatures w14:val="none"/>
              </w:rPr>
              <w:t>Expenditure sample testing</w:t>
            </w:r>
          </w:p>
        </w:tc>
        <w:tc>
          <w:tcPr>
            <w:tcW w:w="188" w:type="dxa"/>
            <w:tcBorders>
              <w:top w:val="nil"/>
              <w:left w:val="nil"/>
              <w:bottom w:val="nil"/>
              <w:right w:val="nil"/>
            </w:tcBorders>
            <w:shd w:val="clear" w:color="auto" w:fill="auto"/>
            <w:noWrap/>
            <w:vAlign w:val="bottom"/>
            <w:hideMark/>
          </w:tcPr>
          <w:p w14:paraId="34BDE569" w14:textId="77777777" w:rsidR="002167E5" w:rsidRPr="002167E5" w:rsidRDefault="002167E5" w:rsidP="002167E5">
            <w:pPr>
              <w:suppressAutoHyphens w:val="0"/>
              <w:spacing w:before="0" w:after="0" w:line="240" w:lineRule="auto"/>
              <w:rPr>
                <w:rFonts w:eastAsia="Times New Roman" w:cs="Calibri"/>
                <w:color w:val="1A1A1A"/>
                <w:sz w:val="22"/>
                <w:szCs w:val="22"/>
                <w:lang w:eastAsia="en-GB"/>
                <w14:ligatures w14:val="none"/>
              </w:rPr>
            </w:pPr>
          </w:p>
        </w:tc>
        <w:tc>
          <w:tcPr>
            <w:tcW w:w="6016" w:type="dxa"/>
            <w:tcBorders>
              <w:top w:val="nil"/>
              <w:left w:val="single" w:sz="4" w:space="0" w:color="auto"/>
              <w:bottom w:val="single" w:sz="4" w:space="0" w:color="auto"/>
              <w:right w:val="single" w:sz="4" w:space="0" w:color="auto"/>
            </w:tcBorders>
            <w:shd w:val="clear" w:color="auto" w:fill="auto"/>
            <w:hideMark/>
          </w:tcPr>
          <w:p w14:paraId="7416B958" w14:textId="77777777" w:rsidR="002167E5" w:rsidRPr="002167E5" w:rsidRDefault="002167E5" w:rsidP="002167E5">
            <w:pPr>
              <w:suppressAutoHyphens w:val="0"/>
              <w:spacing w:before="0" w:after="0" w:line="240" w:lineRule="auto"/>
              <w:rPr>
                <w:rFonts w:eastAsia="Times New Roman" w:cs="Calibri"/>
                <w:color w:val="1A1A1A"/>
                <w:sz w:val="22"/>
                <w:szCs w:val="22"/>
                <w:lang w:eastAsia="en-GB"/>
                <w14:ligatures w14:val="none"/>
              </w:rPr>
            </w:pPr>
            <w:r w:rsidRPr="002167E5">
              <w:rPr>
                <w:rFonts w:eastAsia="Times New Roman" w:cs="Calibri"/>
                <w:color w:val="1A1A1A"/>
                <w:sz w:val="22"/>
                <w:szCs w:val="22"/>
                <w:lang w:eastAsia="en-GB"/>
                <w14:ligatures w14:val="none"/>
              </w:rPr>
              <w:t>Additional hours</w:t>
            </w:r>
          </w:p>
        </w:tc>
      </w:tr>
      <w:tr w:rsidR="002167E5" w:rsidRPr="002167E5" w14:paraId="5327AB54" w14:textId="77777777" w:rsidTr="002167E5">
        <w:trPr>
          <w:trHeight w:val="312"/>
        </w:trPr>
        <w:tc>
          <w:tcPr>
            <w:tcW w:w="6016" w:type="dxa"/>
            <w:tcBorders>
              <w:top w:val="nil"/>
              <w:left w:val="single" w:sz="4" w:space="0" w:color="auto"/>
              <w:bottom w:val="single" w:sz="4" w:space="0" w:color="auto"/>
              <w:right w:val="single" w:sz="4" w:space="0" w:color="auto"/>
            </w:tcBorders>
            <w:shd w:val="clear" w:color="auto" w:fill="auto"/>
            <w:hideMark/>
          </w:tcPr>
          <w:p w14:paraId="48938CA2" w14:textId="77777777" w:rsidR="002167E5" w:rsidRPr="002167E5" w:rsidRDefault="002167E5" w:rsidP="002167E5">
            <w:pPr>
              <w:suppressAutoHyphens w:val="0"/>
              <w:spacing w:before="0" w:after="0" w:line="240" w:lineRule="auto"/>
              <w:rPr>
                <w:rFonts w:eastAsia="Times New Roman" w:cs="Calibri"/>
                <w:color w:val="1A1A1A"/>
                <w:sz w:val="22"/>
                <w:szCs w:val="22"/>
                <w:lang w:eastAsia="en-GB"/>
                <w14:ligatures w14:val="none"/>
              </w:rPr>
            </w:pPr>
            <w:r w:rsidRPr="002167E5">
              <w:rPr>
                <w:rFonts w:eastAsia="Times New Roman" w:cs="Calibri"/>
                <w:color w:val="1A1A1A"/>
                <w:sz w:val="22"/>
                <w:szCs w:val="22"/>
                <w:lang w:eastAsia="en-GB"/>
                <w14:ligatures w14:val="none"/>
              </w:rPr>
              <w:t>Value for Money</w:t>
            </w:r>
          </w:p>
        </w:tc>
        <w:tc>
          <w:tcPr>
            <w:tcW w:w="188" w:type="dxa"/>
            <w:tcBorders>
              <w:top w:val="nil"/>
              <w:left w:val="nil"/>
              <w:bottom w:val="nil"/>
              <w:right w:val="nil"/>
            </w:tcBorders>
            <w:shd w:val="clear" w:color="auto" w:fill="auto"/>
            <w:noWrap/>
            <w:vAlign w:val="bottom"/>
            <w:hideMark/>
          </w:tcPr>
          <w:p w14:paraId="5F86F99E" w14:textId="77777777" w:rsidR="002167E5" w:rsidRPr="002167E5" w:rsidRDefault="002167E5" w:rsidP="002167E5">
            <w:pPr>
              <w:suppressAutoHyphens w:val="0"/>
              <w:spacing w:before="0" w:after="0" w:line="240" w:lineRule="auto"/>
              <w:rPr>
                <w:rFonts w:eastAsia="Times New Roman" w:cs="Calibri"/>
                <w:color w:val="1A1A1A"/>
                <w:sz w:val="22"/>
                <w:szCs w:val="22"/>
                <w:lang w:eastAsia="en-GB"/>
                <w14:ligatures w14:val="none"/>
              </w:rPr>
            </w:pPr>
          </w:p>
        </w:tc>
        <w:tc>
          <w:tcPr>
            <w:tcW w:w="6016" w:type="dxa"/>
            <w:tcBorders>
              <w:top w:val="nil"/>
              <w:left w:val="single" w:sz="4" w:space="0" w:color="auto"/>
              <w:bottom w:val="single" w:sz="4" w:space="0" w:color="auto"/>
              <w:right w:val="single" w:sz="4" w:space="0" w:color="auto"/>
            </w:tcBorders>
            <w:shd w:val="clear" w:color="auto" w:fill="auto"/>
            <w:hideMark/>
          </w:tcPr>
          <w:p w14:paraId="58230946" w14:textId="77777777" w:rsidR="002167E5" w:rsidRPr="002167E5" w:rsidRDefault="002167E5" w:rsidP="002167E5">
            <w:pPr>
              <w:suppressAutoHyphens w:val="0"/>
              <w:spacing w:before="0" w:after="0" w:line="240" w:lineRule="auto"/>
              <w:rPr>
                <w:rFonts w:eastAsia="Times New Roman" w:cs="Calibri"/>
                <w:color w:val="1A1A1A"/>
                <w:sz w:val="22"/>
                <w:szCs w:val="22"/>
                <w:lang w:eastAsia="en-GB"/>
                <w14:ligatures w14:val="none"/>
              </w:rPr>
            </w:pPr>
            <w:r w:rsidRPr="002167E5">
              <w:rPr>
                <w:rFonts w:eastAsia="Times New Roman" w:cs="Calibri"/>
                <w:color w:val="1A1A1A"/>
                <w:sz w:val="22"/>
                <w:szCs w:val="22"/>
                <w:lang w:eastAsia="en-GB"/>
                <w14:ligatures w14:val="none"/>
              </w:rPr>
              <w:t>Special payments</w:t>
            </w:r>
          </w:p>
        </w:tc>
      </w:tr>
      <w:tr w:rsidR="002167E5" w:rsidRPr="002167E5" w14:paraId="4AF3BF33" w14:textId="77777777" w:rsidTr="002167E5">
        <w:trPr>
          <w:trHeight w:val="300"/>
        </w:trPr>
        <w:tc>
          <w:tcPr>
            <w:tcW w:w="6016" w:type="dxa"/>
            <w:tcBorders>
              <w:top w:val="nil"/>
              <w:left w:val="single" w:sz="4" w:space="0" w:color="auto"/>
              <w:bottom w:val="single" w:sz="4" w:space="0" w:color="auto"/>
              <w:right w:val="single" w:sz="4" w:space="0" w:color="auto"/>
            </w:tcBorders>
            <w:shd w:val="clear" w:color="auto" w:fill="auto"/>
            <w:hideMark/>
          </w:tcPr>
          <w:p w14:paraId="33E49ABF" w14:textId="77777777" w:rsidR="002167E5" w:rsidRPr="002167E5" w:rsidRDefault="002167E5" w:rsidP="002167E5">
            <w:pPr>
              <w:suppressAutoHyphens w:val="0"/>
              <w:spacing w:before="0" w:after="0" w:line="240" w:lineRule="auto"/>
              <w:rPr>
                <w:rFonts w:eastAsia="Times New Roman" w:cs="Calibri"/>
                <w:color w:val="1A1A1A"/>
                <w:sz w:val="22"/>
                <w:szCs w:val="22"/>
                <w:lang w:eastAsia="en-GB"/>
                <w14:ligatures w14:val="none"/>
              </w:rPr>
            </w:pPr>
            <w:r w:rsidRPr="002167E5">
              <w:rPr>
                <w:rFonts w:eastAsia="Times New Roman" w:cs="Calibri"/>
                <w:color w:val="1A1A1A"/>
                <w:sz w:val="22"/>
                <w:szCs w:val="22"/>
                <w:lang w:eastAsia="en-GB"/>
                <w14:ligatures w14:val="none"/>
              </w:rPr>
              <w:t>Unresolved issues</w:t>
            </w:r>
          </w:p>
        </w:tc>
        <w:tc>
          <w:tcPr>
            <w:tcW w:w="188" w:type="dxa"/>
            <w:tcBorders>
              <w:top w:val="nil"/>
              <w:left w:val="nil"/>
              <w:bottom w:val="nil"/>
              <w:right w:val="nil"/>
            </w:tcBorders>
            <w:shd w:val="clear" w:color="auto" w:fill="auto"/>
            <w:noWrap/>
            <w:vAlign w:val="bottom"/>
            <w:hideMark/>
          </w:tcPr>
          <w:p w14:paraId="64115412" w14:textId="77777777" w:rsidR="002167E5" w:rsidRPr="002167E5" w:rsidRDefault="002167E5" w:rsidP="002167E5">
            <w:pPr>
              <w:suppressAutoHyphens w:val="0"/>
              <w:spacing w:before="0" w:after="0" w:line="240" w:lineRule="auto"/>
              <w:rPr>
                <w:rFonts w:eastAsia="Times New Roman" w:cs="Calibri"/>
                <w:color w:val="1A1A1A"/>
                <w:sz w:val="22"/>
                <w:szCs w:val="22"/>
                <w:lang w:eastAsia="en-GB"/>
                <w14:ligatures w14:val="none"/>
              </w:rPr>
            </w:pPr>
          </w:p>
        </w:tc>
        <w:tc>
          <w:tcPr>
            <w:tcW w:w="6016" w:type="dxa"/>
            <w:tcBorders>
              <w:top w:val="nil"/>
              <w:left w:val="single" w:sz="4" w:space="0" w:color="auto"/>
              <w:bottom w:val="single" w:sz="4" w:space="0" w:color="auto"/>
              <w:right w:val="single" w:sz="4" w:space="0" w:color="auto"/>
            </w:tcBorders>
            <w:shd w:val="clear" w:color="auto" w:fill="auto"/>
            <w:hideMark/>
          </w:tcPr>
          <w:p w14:paraId="07D329B5" w14:textId="77777777" w:rsidR="002167E5" w:rsidRPr="002167E5" w:rsidRDefault="002167E5" w:rsidP="002167E5">
            <w:pPr>
              <w:suppressAutoHyphens w:val="0"/>
              <w:spacing w:before="0" w:after="0" w:line="240" w:lineRule="auto"/>
              <w:rPr>
                <w:rFonts w:eastAsia="Times New Roman" w:cs="Calibri"/>
                <w:color w:val="1A1A1A"/>
                <w:sz w:val="22"/>
                <w:szCs w:val="22"/>
                <w:lang w:eastAsia="en-GB"/>
                <w14:ligatures w14:val="none"/>
              </w:rPr>
            </w:pPr>
            <w:r w:rsidRPr="002167E5">
              <w:rPr>
                <w:rFonts w:eastAsia="Times New Roman" w:cs="Calibri"/>
                <w:color w:val="1A1A1A"/>
                <w:sz w:val="22"/>
                <w:szCs w:val="22"/>
                <w:lang w:eastAsia="en-GB"/>
                <w14:ligatures w14:val="none"/>
              </w:rPr>
              <w:t>Unresolved issues</w:t>
            </w:r>
          </w:p>
        </w:tc>
      </w:tr>
      <w:tr w:rsidR="002167E5" w:rsidRPr="002167E5" w14:paraId="75BBB12E" w14:textId="77777777" w:rsidTr="002167E5">
        <w:trPr>
          <w:trHeight w:val="312"/>
        </w:trPr>
        <w:tc>
          <w:tcPr>
            <w:tcW w:w="6016" w:type="dxa"/>
            <w:tcBorders>
              <w:top w:val="nil"/>
              <w:left w:val="nil"/>
              <w:bottom w:val="nil"/>
              <w:right w:val="nil"/>
            </w:tcBorders>
            <w:shd w:val="clear" w:color="auto" w:fill="auto"/>
            <w:noWrap/>
            <w:vAlign w:val="bottom"/>
            <w:hideMark/>
          </w:tcPr>
          <w:p w14:paraId="03FAD515" w14:textId="77777777" w:rsidR="002167E5" w:rsidRPr="002167E5" w:rsidRDefault="002167E5" w:rsidP="002167E5">
            <w:pPr>
              <w:suppressAutoHyphens w:val="0"/>
              <w:spacing w:before="0" w:after="0" w:line="240" w:lineRule="auto"/>
              <w:rPr>
                <w:rFonts w:eastAsia="Times New Roman" w:cs="Calibri"/>
                <w:color w:val="1A1A1A"/>
                <w:sz w:val="22"/>
                <w:szCs w:val="22"/>
                <w:lang w:eastAsia="en-GB"/>
                <w14:ligatures w14:val="none"/>
              </w:rPr>
            </w:pPr>
          </w:p>
        </w:tc>
        <w:tc>
          <w:tcPr>
            <w:tcW w:w="188" w:type="dxa"/>
            <w:tcBorders>
              <w:top w:val="nil"/>
              <w:left w:val="nil"/>
              <w:bottom w:val="nil"/>
              <w:right w:val="nil"/>
            </w:tcBorders>
            <w:shd w:val="clear" w:color="auto" w:fill="auto"/>
            <w:noWrap/>
            <w:vAlign w:val="bottom"/>
            <w:hideMark/>
          </w:tcPr>
          <w:p w14:paraId="48CD3A08" w14:textId="77777777" w:rsidR="002167E5" w:rsidRPr="002167E5" w:rsidRDefault="002167E5" w:rsidP="002167E5">
            <w:pPr>
              <w:suppressAutoHyphens w:val="0"/>
              <w:spacing w:before="0" w:after="0" w:line="240" w:lineRule="auto"/>
              <w:rPr>
                <w:rFonts w:ascii="Times New Roman" w:eastAsia="Times New Roman" w:hAnsi="Times New Roman" w:cs="Times New Roman"/>
                <w:szCs w:val="20"/>
                <w:lang w:eastAsia="en-GB"/>
                <w14:ligatures w14:val="none"/>
              </w:rPr>
            </w:pPr>
          </w:p>
        </w:tc>
        <w:tc>
          <w:tcPr>
            <w:tcW w:w="6016" w:type="dxa"/>
            <w:tcBorders>
              <w:top w:val="nil"/>
              <w:left w:val="nil"/>
              <w:bottom w:val="nil"/>
              <w:right w:val="nil"/>
            </w:tcBorders>
            <w:shd w:val="clear" w:color="auto" w:fill="auto"/>
            <w:noWrap/>
            <w:vAlign w:val="bottom"/>
            <w:hideMark/>
          </w:tcPr>
          <w:p w14:paraId="04380F9D" w14:textId="77777777" w:rsidR="002167E5" w:rsidRPr="002167E5" w:rsidRDefault="002167E5" w:rsidP="002167E5">
            <w:pPr>
              <w:suppressAutoHyphens w:val="0"/>
              <w:spacing w:before="0" w:after="0" w:line="240" w:lineRule="auto"/>
              <w:rPr>
                <w:rFonts w:ascii="Times New Roman" w:eastAsia="Times New Roman" w:hAnsi="Times New Roman" w:cs="Times New Roman"/>
                <w:szCs w:val="20"/>
                <w:lang w:eastAsia="en-GB"/>
                <w14:ligatures w14:val="none"/>
              </w:rPr>
            </w:pPr>
          </w:p>
        </w:tc>
      </w:tr>
      <w:tr w:rsidR="002167E5" w:rsidRPr="002167E5" w14:paraId="2E4C4EC5" w14:textId="77777777" w:rsidTr="002167E5">
        <w:trPr>
          <w:trHeight w:val="312"/>
        </w:trPr>
        <w:tc>
          <w:tcPr>
            <w:tcW w:w="6016" w:type="dxa"/>
            <w:tcBorders>
              <w:top w:val="single" w:sz="8" w:space="0" w:color="auto"/>
              <w:left w:val="single" w:sz="8" w:space="0" w:color="auto"/>
              <w:bottom w:val="nil"/>
              <w:right w:val="nil"/>
            </w:tcBorders>
            <w:shd w:val="clear" w:color="000000" w:fill="2C2242"/>
            <w:vAlign w:val="center"/>
            <w:hideMark/>
          </w:tcPr>
          <w:p w14:paraId="3C8925ED" w14:textId="77777777" w:rsidR="002167E5" w:rsidRPr="002167E5" w:rsidRDefault="002167E5" w:rsidP="002167E5">
            <w:pPr>
              <w:suppressAutoHyphens w:val="0"/>
              <w:spacing w:before="0" w:after="0" w:line="240" w:lineRule="auto"/>
              <w:rPr>
                <w:rFonts w:eastAsia="Times New Roman" w:cs="Calibri"/>
                <w:b/>
                <w:bCs/>
                <w:color w:val="FFFFFF"/>
                <w:sz w:val="22"/>
                <w:szCs w:val="22"/>
                <w:lang w:eastAsia="en-GB"/>
                <w14:ligatures w14:val="none"/>
              </w:rPr>
            </w:pPr>
            <w:r w:rsidRPr="002167E5">
              <w:rPr>
                <w:rFonts w:eastAsia="Times New Roman" w:cs="Calibri"/>
                <w:b/>
                <w:bCs/>
                <w:color w:val="FFFFFF"/>
                <w:sz w:val="22"/>
                <w:szCs w:val="22"/>
                <w:lang w:eastAsia="en-GB"/>
                <w14:ligatures w14:val="none"/>
              </w:rPr>
              <w:t>Governance Framework - Review 2of2</w:t>
            </w:r>
          </w:p>
        </w:tc>
        <w:tc>
          <w:tcPr>
            <w:tcW w:w="188" w:type="dxa"/>
            <w:tcBorders>
              <w:top w:val="nil"/>
              <w:left w:val="nil"/>
              <w:bottom w:val="nil"/>
              <w:right w:val="nil"/>
            </w:tcBorders>
            <w:shd w:val="clear" w:color="auto" w:fill="auto"/>
            <w:noWrap/>
            <w:vAlign w:val="bottom"/>
            <w:hideMark/>
          </w:tcPr>
          <w:p w14:paraId="7480C472" w14:textId="77777777" w:rsidR="002167E5" w:rsidRPr="002167E5" w:rsidRDefault="002167E5" w:rsidP="002167E5">
            <w:pPr>
              <w:suppressAutoHyphens w:val="0"/>
              <w:spacing w:before="0" w:after="0" w:line="240" w:lineRule="auto"/>
              <w:rPr>
                <w:rFonts w:eastAsia="Times New Roman" w:cs="Calibri"/>
                <w:b/>
                <w:bCs/>
                <w:color w:val="FFFFFF"/>
                <w:sz w:val="22"/>
                <w:szCs w:val="22"/>
                <w:lang w:eastAsia="en-GB"/>
                <w14:ligatures w14:val="none"/>
              </w:rPr>
            </w:pPr>
          </w:p>
        </w:tc>
        <w:tc>
          <w:tcPr>
            <w:tcW w:w="6016" w:type="dxa"/>
            <w:tcBorders>
              <w:top w:val="nil"/>
              <w:left w:val="nil"/>
              <w:bottom w:val="nil"/>
              <w:right w:val="nil"/>
            </w:tcBorders>
            <w:shd w:val="clear" w:color="auto" w:fill="auto"/>
            <w:noWrap/>
            <w:vAlign w:val="bottom"/>
            <w:hideMark/>
          </w:tcPr>
          <w:p w14:paraId="0AFD30F8" w14:textId="77777777" w:rsidR="002167E5" w:rsidRPr="002167E5" w:rsidRDefault="002167E5" w:rsidP="002167E5">
            <w:pPr>
              <w:suppressAutoHyphens w:val="0"/>
              <w:spacing w:before="0" w:after="0" w:line="240" w:lineRule="auto"/>
              <w:rPr>
                <w:rFonts w:ascii="Times New Roman" w:eastAsia="Times New Roman" w:hAnsi="Times New Roman" w:cs="Times New Roman"/>
                <w:szCs w:val="20"/>
                <w:lang w:eastAsia="en-GB"/>
                <w14:ligatures w14:val="none"/>
              </w:rPr>
            </w:pPr>
          </w:p>
        </w:tc>
      </w:tr>
      <w:tr w:rsidR="002167E5" w:rsidRPr="002167E5" w14:paraId="3522D6CC" w14:textId="77777777" w:rsidTr="002167E5">
        <w:trPr>
          <w:trHeight w:val="612"/>
        </w:trPr>
        <w:tc>
          <w:tcPr>
            <w:tcW w:w="6016" w:type="dxa"/>
            <w:tcBorders>
              <w:top w:val="single" w:sz="4" w:space="0" w:color="auto"/>
              <w:left w:val="single" w:sz="4" w:space="0" w:color="auto"/>
              <w:bottom w:val="single" w:sz="4" w:space="0" w:color="auto"/>
              <w:right w:val="single" w:sz="4" w:space="0" w:color="auto"/>
            </w:tcBorders>
            <w:shd w:val="clear" w:color="000000" w:fill="BCAAE6"/>
            <w:vAlign w:val="center"/>
            <w:hideMark/>
          </w:tcPr>
          <w:p w14:paraId="4076A9A4" w14:textId="77777777" w:rsidR="002167E5" w:rsidRPr="002167E5" w:rsidRDefault="002167E5" w:rsidP="002167E5">
            <w:pPr>
              <w:suppressAutoHyphens w:val="0"/>
              <w:spacing w:before="0" w:after="0" w:line="240" w:lineRule="auto"/>
              <w:rPr>
                <w:rFonts w:eastAsia="Times New Roman" w:cs="Calibri"/>
                <w:color w:val="1A1A1A"/>
                <w:sz w:val="22"/>
                <w:szCs w:val="22"/>
                <w:lang w:eastAsia="en-GB"/>
                <w14:ligatures w14:val="none"/>
              </w:rPr>
            </w:pPr>
            <w:r w:rsidRPr="002167E5">
              <w:rPr>
                <w:rFonts w:eastAsia="Times New Roman" w:cs="Calibri"/>
                <w:color w:val="1A1A1A"/>
                <w:sz w:val="22"/>
                <w:szCs w:val="22"/>
                <w:lang w:eastAsia="en-GB"/>
                <w14:ligatures w14:val="none"/>
              </w:rPr>
              <w:t>Internal scrutiny of controls and processes relating to Policies, Transparency, Publication of information.</w:t>
            </w:r>
          </w:p>
        </w:tc>
        <w:tc>
          <w:tcPr>
            <w:tcW w:w="188" w:type="dxa"/>
            <w:tcBorders>
              <w:top w:val="nil"/>
              <w:left w:val="nil"/>
              <w:bottom w:val="nil"/>
              <w:right w:val="nil"/>
            </w:tcBorders>
            <w:shd w:val="clear" w:color="auto" w:fill="auto"/>
            <w:noWrap/>
            <w:vAlign w:val="bottom"/>
            <w:hideMark/>
          </w:tcPr>
          <w:p w14:paraId="2356DCC2" w14:textId="77777777" w:rsidR="002167E5" w:rsidRPr="002167E5" w:rsidRDefault="002167E5" w:rsidP="002167E5">
            <w:pPr>
              <w:suppressAutoHyphens w:val="0"/>
              <w:spacing w:before="0" w:after="0" w:line="240" w:lineRule="auto"/>
              <w:rPr>
                <w:rFonts w:eastAsia="Times New Roman" w:cs="Calibri"/>
                <w:color w:val="1A1A1A"/>
                <w:sz w:val="22"/>
                <w:szCs w:val="22"/>
                <w:lang w:eastAsia="en-GB"/>
                <w14:ligatures w14:val="none"/>
              </w:rPr>
            </w:pPr>
          </w:p>
        </w:tc>
        <w:tc>
          <w:tcPr>
            <w:tcW w:w="6016" w:type="dxa"/>
            <w:tcBorders>
              <w:top w:val="nil"/>
              <w:left w:val="nil"/>
              <w:bottom w:val="nil"/>
              <w:right w:val="nil"/>
            </w:tcBorders>
            <w:shd w:val="clear" w:color="auto" w:fill="auto"/>
            <w:noWrap/>
            <w:vAlign w:val="bottom"/>
            <w:hideMark/>
          </w:tcPr>
          <w:p w14:paraId="565FD2B2" w14:textId="77777777" w:rsidR="002167E5" w:rsidRPr="002167E5" w:rsidRDefault="002167E5" w:rsidP="002167E5">
            <w:pPr>
              <w:suppressAutoHyphens w:val="0"/>
              <w:spacing w:before="0" w:after="0" w:line="240" w:lineRule="auto"/>
              <w:rPr>
                <w:rFonts w:ascii="Times New Roman" w:eastAsia="Times New Roman" w:hAnsi="Times New Roman" w:cs="Times New Roman"/>
                <w:szCs w:val="20"/>
                <w:lang w:eastAsia="en-GB"/>
                <w14:ligatures w14:val="none"/>
              </w:rPr>
            </w:pPr>
          </w:p>
        </w:tc>
      </w:tr>
      <w:tr w:rsidR="002167E5" w:rsidRPr="002167E5" w14:paraId="190B1A03" w14:textId="77777777" w:rsidTr="002167E5">
        <w:trPr>
          <w:trHeight w:val="312"/>
        </w:trPr>
        <w:tc>
          <w:tcPr>
            <w:tcW w:w="6016" w:type="dxa"/>
            <w:tcBorders>
              <w:top w:val="nil"/>
              <w:left w:val="single" w:sz="4" w:space="0" w:color="auto"/>
              <w:bottom w:val="nil"/>
              <w:right w:val="single" w:sz="4" w:space="0" w:color="auto"/>
            </w:tcBorders>
            <w:shd w:val="clear" w:color="auto" w:fill="auto"/>
            <w:hideMark/>
          </w:tcPr>
          <w:p w14:paraId="14972BAD" w14:textId="77777777" w:rsidR="002167E5" w:rsidRPr="002167E5" w:rsidRDefault="002167E5" w:rsidP="002167E5">
            <w:pPr>
              <w:suppressAutoHyphens w:val="0"/>
              <w:spacing w:before="0" w:after="0" w:line="240" w:lineRule="auto"/>
              <w:rPr>
                <w:rFonts w:eastAsia="Times New Roman" w:cs="Calibri"/>
                <w:color w:val="1A1A1A"/>
                <w:sz w:val="22"/>
                <w:szCs w:val="22"/>
                <w:lang w:eastAsia="en-GB"/>
                <w14:ligatures w14:val="none"/>
              </w:rPr>
            </w:pPr>
            <w:r w:rsidRPr="002167E5">
              <w:rPr>
                <w:rFonts w:eastAsia="Times New Roman" w:cs="Calibri"/>
                <w:color w:val="1A1A1A"/>
                <w:sz w:val="22"/>
                <w:szCs w:val="22"/>
                <w:lang w:eastAsia="en-GB"/>
                <w14:ligatures w14:val="none"/>
              </w:rPr>
              <w:t>Internal Scrutiny</w:t>
            </w:r>
          </w:p>
        </w:tc>
        <w:tc>
          <w:tcPr>
            <w:tcW w:w="188" w:type="dxa"/>
            <w:tcBorders>
              <w:top w:val="nil"/>
              <w:left w:val="nil"/>
              <w:bottom w:val="nil"/>
              <w:right w:val="nil"/>
            </w:tcBorders>
            <w:shd w:val="clear" w:color="auto" w:fill="auto"/>
            <w:noWrap/>
            <w:vAlign w:val="bottom"/>
            <w:hideMark/>
          </w:tcPr>
          <w:p w14:paraId="06733DFB" w14:textId="77777777" w:rsidR="002167E5" w:rsidRPr="002167E5" w:rsidRDefault="002167E5" w:rsidP="002167E5">
            <w:pPr>
              <w:suppressAutoHyphens w:val="0"/>
              <w:spacing w:before="0" w:after="0" w:line="240" w:lineRule="auto"/>
              <w:rPr>
                <w:rFonts w:eastAsia="Times New Roman" w:cs="Calibri"/>
                <w:color w:val="1A1A1A"/>
                <w:sz w:val="22"/>
                <w:szCs w:val="22"/>
                <w:lang w:eastAsia="en-GB"/>
                <w14:ligatures w14:val="none"/>
              </w:rPr>
            </w:pPr>
          </w:p>
        </w:tc>
        <w:tc>
          <w:tcPr>
            <w:tcW w:w="6016" w:type="dxa"/>
            <w:tcBorders>
              <w:top w:val="nil"/>
              <w:left w:val="nil"/>
              <w:bottom w:val="nil"/>
              <w:right w:val="nil"/>
            </w:tcBorders>
            <w:shd w:val="clear" w:color="auto" w:fill="auto"/>
            <w:noWrap/>
            <w:vAlign w:val="bottom"/>
            <w:hideMark/>
          </w:tcPr>
          <w:p w14:paraId="0E1D6728" w14:textId="77777777" w:rsidR="002167E5" w:rsidRPr="002167E5" w:rsidRDefault="002167E5" w:rsidP="002167E5">
            <w:pPr>
              <w:suppressAutoHyphens w:val="0"/>
              <w:spacing w:before="0" w:after="0" w:line="240" w:lineRule="auto"/>
              <w:rPr>
                <w:rFonts w:ascii="Times New Roman" w:eastAsia="Times New Roman" w:hAnsi="Times New Roman" w:cs="Times New Roman"/>
                <w:szCs w:val="20"/>
                <w:lang w:eastAsia="en-GB"/>
                <w14:ligatures w14:val="none"/>
              </w:rPr>
            </w:pPr>
          </w:p>
        </w:tc>
      </w:tr>
      <w:tr w:rsidR="002167E5" w:rsidRPr="002167E5" w14:paraId="53312492" w14:textId="77777777" w:rsidTr="002167E5">
        <w:trPr>
          <w:trHeight w:val="312"/>
        </w:trPr>
        <w:tc>
          <w:tcPr>
            <w:tcW w:w="6016" w:type="dxa"/>
            <w:tcBorders>
              <w:top w:val="single" w:sz="4" w:space="0" w:color="auto"/>
              <w:left w:val="single" w:sz="4" w:space="0" w:color="auto"/>
              <w:bottom w:val="single" w:sz="4" w:space="0" w:color="auto"/>
              <w:right w:val="single" w:sz="4" w:space="0" w:color="auto"/>
            </w:tcBorders>
            <w:shd w:val="clear" w:color="auto" w:fill="auto"/>
            <w:hideMark/>
          </w:tcPr>
          <w:p w14:paraId="59F1AC92" w14:textId="77777777" w:rsidR="002167E5" w:rsidRPr="002167E5" w:rsidRDefault="002167E5" w:rsidP="002167E5">
            <w:pPr>
              <w:suppressAutoHyphens w:val="0"/>
              <w:spacing w:before="0" w:after="0" w:line="240" w:lineRule="auto"/>
              <w:rPr>
                <w:rFonts w:eastAsia="Times New Roman" w:cs="Calibri"/>
                <w:color w:val="1A1A1A"/>
                <w:sz w:val="22"/>
                <w:szCs w:val="22"/>
                <w:lang w:eastAsia="en-GB"/>
                <w14:ligatures w14:val="none"/>
              </w:rPr>
            </w:pPr>
            <w:r w:rsidRPr="002167E5">
              <w:rPr>
                <w:rFonts w:eastAsia="Times New Roman" w:cs="Calibri"/>
                <w:color w:val="1A1A1A"/>
                <w:sz w:val="22"/>
                <w:szCs w:val="22"/>
                <w:lang w:eastAsia="en-GB"/>
                <w14:ligatures w14:val="none"/>
              </w:rPr>
              <w:t>Publication</w:t>
            </w:r>
          </w:p>
        </w:tc>
        <w:tc>
          <w:tcPr>
            <w:tcW w:w="188" w:type="dxa"/>
            <w:tcBorders>
              <w:top w:val="nil"/>
              <w:left w:val="nil"/>
              <w:bottom w:val="nil"/>
              <w:right w:val="nil"/>
            </w:tcBorders>
            <w:shd w:val="clear" w:color="auto" w:fill="auto"/>
            <w:noWrap/>
            <w:vAlign w:val="bottom"/>
            <w:hideMark/>
          </w:tcPr>
          <w:p w14:paraId="277641D2" w14:textId="77777777" w:rsidR="002167E5" w:rsidRPr="002167E5" w:rsidRDefault="002167E5" w:rsidP="002167E5">
            <w:pPr>
              <w:suppressAutoHyphens w:val="0"/>
              <w:spacing w:before="0" w:after="0" w:line="240" w:lineRule="auto"/>
              <w:rPr>
                <w:rFonts w:eastAsia="Times New Roman" w:cs="Calibri"/>
                <w:color w:val="1A1A1A"/>
                <w:sz w:val="22"/>
                <w:szCs w:val="22"/>
                <w:lang w:eastAsia="en-GB"/>
                <w14:ligatures w14:val="none"/>
              </w:rPr>
            </w:pPr>
          </w:p>
        </w:tc>
        <w:tc>
          <w:tcPr>
            <w:tcW w:w="6016" w:type="dxa"/>
            <w:tcBorders>
              <w:top w:val="nil"/>
              <w:left w:val="nil"/>
              <w:bottom w:val="nil"/>
              <w:right w:val="nil"/>
            </w:tcBorders>
            <w:shd w:val="clear" w:color="auto" w:fill="auto"/>
            <w:noWrap/>
            <w:vAlign w:val="bottom"/>
            <w:hideMark/>
          </w:tcPr>
          <w:p w14:paraId="7EC7D486" w14:textId="77777777" w:rsidR="002167E5" w:rsidRPr="002167E5" w:rsidRDefault="002167E5" w:rsidP="002167E5">
            <w:pPr>
              <w:suppressAutoHyphens w:val="0"/>
              <w:spacing w:before="0" w:after="0" w:line="240" w:lineRule="auto"/>
              <w:rPr>
                <w:rFonts w:ascii="Times New Roman" w:eastAsia="Times New Roman" w:hAnsi="Times New Roman" w:cs="Times New Roman"/>
                <w:szCs w:val="20"/>
                <w:lang w:eastAsia="en-GB"/>
                <w14:ligatures w14:val="none"/>
              </w:rPr>
            </w:pPr>
          </w:p>
        </w:tc>
      </w:tr>
      <w:tr w:rsidR="002167E5" w:rsidRPr="002167E5" w14:paraId="16FC1AF9" w14:textId="77777777" w:rsidTr="002167E5">
        <w:trPr>
          <w:trHeight w:val="312"/>
        </w:trPr>
        <w:tc>
          <w:tcPr>
            <w:tcW w:w="6016" w:type="dxa"/>
            <w:tcBorders>
              <w:top w:val="nil"/>
              <w:left w:val="single" w:sz="4" w:space="0" w:color="auto"/>
              <w:bottom w:val="single" w:sz="4" w:space="0" w:color="auto"/>
              <w:right w:val="single" w:sz="4" w:space="0" w:color="auto"/>
            </w:tcBorders>
            <w:shd w:val="clear" w:color="auto" w:fill="auto"/>
            <w:hideMark/>
          </w:tcPr>
          <w:p w14:paraId="1F54D3AD" w14:textId="77777777" w:rsidR="002167E5" w:rsidRPr="002167E5" w:rsidRDefault="002167E5" w:rsidP="002167E5">
            <w:pPr>
              <w:suppressAutoHyphens w:val="0"/>
              <w:spacing w:before="0" w:after="0" w:line="240" w:lineRule="auto"/>
              <w:rPr>
                <w:rFonts w:eastAsia="Times New Roman" w:cs="Calibri"/>
                <w:color w:val="1A1A1A"/>
                <w:sz w:val="22"/>
                <w:szCs w:val="22"/>
                <w:lang w:eastAsia="en-GB"/>
                <w14:ligatures w14:val="none"/>
              </w:rPr>
            </w:pPr>
            <w:r w:rsidRPr="002167E5">
              <w:rPr>
                <w:rFonts w:eastAsia="Times New Roman" w:cs="Calibri"/>
                <w:color w:val="1A1A1A"/>
                <w:sz w:val="22"/>
                <w:szCs w:val="22"/>
                <w:lang w:eastAsia="en-GB"/>
                <w14:ligatures w14:val="none"/>
              </w:rPr>
              <w:t>Unresolved Issues</w:t>
            </w:r>
          </w:p>
        </w:tc>
        <w:tc>
          <w:tcPr>
            <w:tcW w:w="188" w:type="dxa"/>
            <w:tcBorders>
              <w:top w:val="nil"/>
              <w:left w:val="nil"/>
              <w:bottom w:val="nil"/>
              <w:right w:val="nil"/>
            </w:tcBorders>
            <w:shd w:val="clear" w:color="auto" w:fill="auto"/>
            <w:noWrap/>
            <w:vAlign w:val="bottom"/>
            <w:hideMark/>
          </w:tcPr>
          <w:p w14:paraId="14495723" w14:textId="77777777" w:rsidR="002167E5" w:rsidRPr="002167E5" w:rsidRDefault="002167E5" w:rsidP="002167E5">
            <w:pPr>
              <w:suppressAutoHyphens w:val="0"/>
              <w:spacing w:before="0" w:after="0" w:line="240" w:lineRule="auto"/>
              <w:rPr>
                <w:rFonts w:eastAsia="Times New Roman" w:cs="Calibri"/>
                <w:color w:val="1A1A1A"/>
                <w:sz w:val="22"/>
                <w:szCs w:val="22"/>
                <w:lang w:eastAsia="en-GB"/>
                <w14:ligatures w14:val="none"/>
              </w:rPr>
            </w:pPr>
          </w:p>
        </w:tc>
        <w:tc>
          <w:tcPr>
            <w:tcW w:w="6016" w:type="dxa"/>
            <w:tcBorders>
              <w:top w:val="nil"/>
              <w:left w:val="nil"/>
              <w:bottom w:val="nil"/>
              <w:right w:val="nil"/>
            </w:tcBorders>
            <w:shd w:val="clear" w:color="auto" w:fill="auto"/>
            <w:noWrap/>
            <w:vAlign w:val="bottom"/>
            <w:hideMark/>
          </w:tcPr>
          <w:p w14:paraId="5CA09189" w14:textId="77777777" w:rsidR="002167E5" w:rsidRPr="002167E5" w:rsidRDefault="002167E5" w:rsidP="002167E5">
            <w:pPr>
              <w:suppressAutoHyphens w:val="0"/>
              <w:spacing w:before="0" w:after="0" w:line="240" w:lineRule="auto"/>
              <w:rPr>
                <w:rFonts w:ascii="Times New Roman" w:eastAsia="Times New Roman" w:hAnsi="Times New Roman" w:cs="Times New Roman"/>
                <w:szCs w:val="20"/>
                <w:lang w:eastAsia="en-GB"/>
                <w14:ligatures w14:val="none"/>
              </w:rPr>
            </w:pPr>
          </w:p>
        </w:tc>
      </w:tr>
    </w:tbl>
    <w:p w14:paraId="574AD702" w14:textId="77777777" w:rsidR="00114A08" w:rsidRDefault="00114A08">
      <w:pPr>
        <w:suppressAutoHyphens w:val="0"/>
        <w:spacing w:before="0" w:after="0" w:line="240" w:lineRule="auto"/>
        <w:rPr>
          <w:rFonts w:ascii="Franklin Gothic Medium" w:eastAsia="Arial Unicode MS" w:hAnsi="Franklin Gothic Medium" w:cs="Times New Roman (Headings CS)"/>
          <w:color w:val="2C1B57" w:themeColor="accent1" w:themeTint="E6"/>
          <w:sz w:val="32"/>
          <w:szCs w:val="32"/>
        </w:rPr>
      </w:pPr>
      <w:r>
        <w:br w:type="page"/>
      </w:r>
    </w:p>
    <w:p w14:paraId="6D274349" w14:textId="77777777" w:rsidR="00D50B64" w:rsidRPr="00BC4175" w:rsidRDefault="00D50B64" w:rsidP="00143CE0">
      <w:pPr>
        <w:pStyle w:val="Sub-heading"/>
      </w:pPr>
      <w:r w:rsidRPr="00BC4175">
        <w:t>Individual recommendations Key:</w:t>
      </w:r>
    </w:p>
    <w:tbl>
      <w:tblPr>
        <w:tblStyle w:val="TableGrid"/>
        <w:tblW w:w="15304" w:type="dxa"/>
        <w:tblBorders>
          <w:right w:val="none" w:sz="0" w:space="0" w:color="auto"/>
        </w:tblBorders>
        <w:tblCellMar>
          <w:top w:w="57" w:type="dxa"/>
        </w:tblCellMar>
        <w:tblLook w:val="04A0" w:firstRow="1" w:lastRow="0" w:firstColumn="1" w:lastColumn="0" w:noHBand="0" w:noVBand="1"/>
      </w:tblPr>
      <w:tblGrid>
        <w:gridCol w:w="1701"/>
        <w:gridCol w:w="13603"/>
      </w:tblGrid>
      <w:tr w:rsidR="00BC4175" w14:paraId="458BDFF7" w14:textId="77777777" w:rsidTr="00114A08">
        <w:trPr>
          <w:trHeight w:val="421"/>
        </w:trPr>
        <w:tc>
          <w:tcPr>
            <w:tcW w:w="1701" w:type="dxa"/>
            <w:shd w:val="clear" w:color="000000" w:fill="FFC7CE"/>
            <w:vAlign w:val="center"/>
          </w:tcPr>
          <w:p w14:paraId="164D4660" w14:textId="77777777" w:rsidR="00BC4175" w:rsidRDefault="00BC4175" w:rsidP="00114A08">
            <w:pPr>
              <w:suppressAutoHyphens w:val="0"/>
              <w:spacing w:before="0" w:after="0" w:line="240" w:lineRule="auto"/>
              <w:rPr>
                <w:rFonts w:eastAsia="Arial Unicode MS"/>
                <w:b/>
                <w:bCs/>
                <w:color w:val="000000"/>
                <w:sz w:val="22"/>
                <w:szCs w:val="22"/>
                <w:lang w:eastAsia="en-GB"/>
              </w:rPr>
            </w:pPr>
            <w:r>
              <w:rPr>
                <w:rFonts w:cs="Calibri"/>
                <w:color w:val="9C0006"/>
                <w:sz w:val="22"/>
                <w:szCs w:val="22"/>
              </w:rPr>
              <w:t>High Priority</w:t>
            </w:r>
          </w:p>
        </w:tc>
        <w:tc>
          <w:tcPr>
            <w:tcW w:w="13603" w:type="dxa"/>
            <w:tcBorders>
              <w:top w:val="single" w:sz="4" w:space="0" w:color="auto"/>
              <w:bottom w:val="single" w:sz="4" w:space="0" w:color="auto"/>
              <w:right w:val="single" w:sz="4" w:space="0" w:color="auto"/>
            </w:tcBorders>
            <w:vAlign w:val="center"/>
          </w:tcPr>
          <w:p w14:paraId="2D919848" w14:textId="77777777" w:rsidR="00BC4175" w:rsidRDefault="006110EF" w:rsidP="00114A08">
            <w:pPr>
              <w:suppressAutoHyphens w:val="0"/>
              <w:spacing w:before="0" w:after="0" w:line="240" w:lineRule="auto"/>
              <w:rPr>
                <w:rFonts w:eastAsia="Arial Unicode MS"/>
                <w:b/>
                <w:bCs/>
                <w:color w:val="000000"/>
                <w:sz w:val="22"/>
                <w:szCs w:val="22"/>
                <w:lang w:eastAsia="en-GB"/>
              </w:rPr>
            </w:pPr>
            <w:r>
              <w:rPr>
                <w:rFonts w:eastAsia="Arial Unicode MS"/>
                <w:sz w:val="22"/>
                <w:szCs w:val="22"/>
                <w:lang w:eastAsia="en-GB"/>
              </w:rPr>
              <w:t>Trustees</w:t>
            </w:r>
            <w:r w:rsidR="00BC4175" w:rsidRPr="009F7958">
              <w:rPr>
                <w:rFonts w:eastAsia="Arial Unicode MS"/>
                <w:sz w:val="22"/>
                <w:szCs w:val="22"/>
                <w:lang w:eastAsia="en-GB"/>
              </w:rPr>
              <w:t xml:space="preserve"> must </w:t>
            </w:r>
            <w:r w:rsidR="00BC4175" w:rsidRPr="006D2C43">
              <w:rPr>
                <w:rFonts w:eastAsia="Arial Unicode MS"/>
                <w:sz w:val="22"/>
                <w:szCs w:val="22"/>
                <w:lang w:eastAsia="en-GB"/>
              </w:rPr>
              <w:t>review this recommendation as a priority.</w:t>
            </w:r>
          </w:p>
        </w:tc>
      </w:tr>
      <w:tr w:rsidR="00BC4175" w14:paraId="6BC15A53" w14:textId="77777777" w:rsidTr="00114A08">
        <w:trPr>
          <w:trHeight w:val="421"/>
        </w:trPr>
        <w:tc>
          <w:tcPr>
            <w:tcW w:w="1701" w:type="dxa"/>
            <w:shd w:val="clear" w:color="000000" w:fill="FFFF99"/>
            <w:vAlign w:val="center"/>
          </w:tcPr>
          <w:p w14:paraId="221BF075" w14:textId="77777777" w:rsidR="00BC4175" w:rsidRDefault="00BC4175" w:rsidP="00114A08">
            <w:pPr>
              <w:suppressAutoHyphens w:val="0"/>
              <w:spacing w:before="0" w:after="0" w:line="240" w:lineRule="auto"/>
              <w:rPr>
                <w:rFonts w:eastAsia="Arial Unicode MS"/>
                <w:b/>
                <w:bCs/>
                <w:color w:val="000000"/>
                <w:sz w:val="22"/>
                <w:szCs w:val="22"/>
                <w:lang w:eastAsia="en-GB"/>
              </w:rPr>
            </w:pPr>
            <w:r>
              <w:rPr>
                <w:rFonts w:cs="Calibri"/>
                <w:color w:val="C4703C"/>
                <w:sz w:val="22"/>
                <w:szCs w:val="22"/>
              </w:rPr>
              <w:t>Medium Priority</w:t>
            </w:r>
          </w:p>
        </w:tc>
        <w:tc>
          <w:tcPr>
            <w:tcW w:w="13603" w:type="dxa"/>
            <w:tcBorders>
              <w:top w:val="single" w:sz="4" w:space="0" w:color="auto"/>
              <w:bottom w:val="single" w:sz="4" w:space="0" w:color="auto"/>
              <w:right w:val="single" w:sz="4" w:space="0" w:color="auto"/>
            </w:tcBorders>
            <w:vAlign w:val="center"/>
          </w:tcPr>
          <w:p w14:paraId="24E4774C" w14:textId="77777777" w:rsidR="00BC4175" w:rsidRDefault="00BC4175" w:rsidP="00114A08">
            <w:pPr>
              <w:suppressAutoHyphens w:val="0"/>
              <w:spacing w:before="0" w:after="0" w:line="240" w:lineRule="auto"/>
              <w:rPr>
                <w:rFonts w:eastAsia="Arial Unicode MS"/>
                <w:b/>
                <w:bCs/>
                <w:color w:val="000000"/>
                <w:sz w:val="22"/>
                <w:szCs w:val="22"/>
                <w:lang w:eastAsia="en-GB"/>
              </w:rPr>
            </w:pPr>
            <w:r w:rsidRPr="00C060DD">
              <w:rPr>
                <w:rFonts w:eastAsia="Arial Unicode MS"/>
                <w:sz w:val="22"/>
                <w:szCs w:val="22"/>
                <w:lang w:eastAsia="en-GB"/>
              </w:rPr>
              <w:t>Internal controls should be strengthened to minimise risk</w:t>
            </w:r>
            <w:r w:rsidRPr="00C060DD">
              <w:rPr>
                <w:rFonts w:eastAsia="Arial Unicode MS"/>
                <w:b/>
                <w:bCs/>
                <w:sz w:val="22"/>
                <w:szCs w:val="22"/>
                <w:lang w:eastAsia="en-GB"/>
              </w:rPr>
              <w:t>.</w:t>
            </w:r>
          </w:p>
        </w:tc>
      </w:tr>
      <w:tr w:rsidR="00BC4175" w14:paraId="14017C69" w14:textId="77777777" w:rsidTr="00114A08">
        <w:trPr>
          <w:trHeight w:val="421"/>
        </w:trPr>
        <w:tc>
          <w:tcPr>
            <w:tcW w:w="1701" w:type="dxa"/>
            <w:shd w:val="clear" w:color="000000" w:fill="CDEDD3"/>
            <w:vAlign w:val="center"/>
          </w:tcPr>
          <w:p w14:paraId="73B3196F" w14:textId="77777777" w:rsidR="00BC4175" w:rsidRDefault="00BC4175" w:rsidP="00114A08">
            <w:pPr>
              <w:suppressAutoHyphens w:val="0"/>
              <w:spacing w:before="0" w:after="0" w:line="240" w:lineRule="auto"/>
              <w:rPr>
                <w:rFonts w:eastAsia="Arial Unicode MS"/>
                <w:b/>
                <w:bCs/>
                <w:color w:val="000000"/>
                <w:sz w:val="22"/>
                <w:szCs w:val="22"/>
                <w:lang w:eastAsia="en-GB"/>
              </w:rPr>
            </w:pPr>
            <w:r>
              <w:rPr>
                <w:rFonts w:cs="Calibri"/>
                <w:color w:val="215F2E"/>
                <w:sz w:val="22"/>
                <w:szCs w:val="22"/>
              </w:rPr>
              <w:t>Low Priority</w:t>
            </w:r>
          </w:p>
        </w:tc>
        <w:tc>
          <w:tcPr>
            <w:tcW w:w="13603" w:type="dxa"/>
            <w:tcBorders>
              <w:top w:val="single" w:sz="4" w:space="0" w:color="auto"/>
              <w:bottom w:val="single" w:sz="4" w:space="0" w:color="auto"/>
              <w:right w:val="single" w:sz="4" w:space="0" w:color="auto"/>
            </w:tcBorders>
            <w:shd w:val="clear" w:color="auto" w:fill="auto"/>
            <w:vAlign w:val="center"/>
          </w:tcPr>
          <w:p w14:paraId="38E3BE1F" w14:textId="77777777" w:rsidR="00BC4175" w:rsidRPr="00D03E1E" w:rsidRDefault="00BC4175" w:rsidP="00114A08">
            <w:pPr>
              <w:suppressAutoHyphens w:val="0"/>
              <w:spacing w:before="0" w:after="0" w:line="240" w:lineRule="auto"/>
              <w:rPr>
                <w:rFonts w:eastAsia="Arial Unicode MS"/>
                <w:sz w:val="22"/>
                <w:szCs w:val="22"/>
                <w:lang w:eastAsia="en-GB"/>
              </w:rPr>
            </w:pPr>
            <w:r w:rsidRPr="006D2C43">
              <w:rPr>
                <w:rFonts w:eastAsia="Arial Unicode MS"/>
                <w:sz w:val="22"/>
                <w:szCs w:val="22"/>
                <w:lang w:eastAsia="en-GB"/>
              </w:rPr>
              <w:t>Internal control could be strengthened in line with best practice, but little risk of material loss.</w:t>
            </w:r>
          </w:p>
        </w:tc>
      </w:tr>
      <w:tr w:rsidR="00114A08" w:rsidRPr="00F47234" w14:paraId="580ACD96" w14:textId="77777777" w:rsidTr="00114A08">
        <w:tblPrEx>
          <w:tblBorders>
            <w:right w:val="single" w:sz="4" w:space="0" w:color="auto"/>
          </w:tblBorders>
          <w:tblCellMar>
            <w:top w:w="0" w:type="dxa"/>
          </w:tblCellMar>
        </w:tblPrEx>
        <w:trPr>
          <w:trHeight w:val="657"/>
        </w:trPr>
        <w:tc>
          <w:tcPr>
            <w:tcW w:w="1701" w:type="dxa"/>
            <w:vAlign w:val="center"/>
          </w:tcPr>
          <w:p w14:paraId="180E971F" w14:textId="77777777" w:rsidR="00114A08" w:rsidRPr="00114A08" w:rsidRDefault="00114A08" w:rsidP="00114A08">
            <w:pPr>
              <w:suppressAutoHyphens w:val="0"/>
              <w:spacing w:before="0" w:after="0" w:line="240" w:lineRule="auto"/>
              <w:rPr>
                <w:rFonts w:cs="Calibri"/>
                <w:color w:val="215F2E"/>
                <w:sz w:val="22"/>
                <w:szCs w:val="22"/>
              </w:rPr>
            </w:pPr>
            <w:r w:rsidRPr="00114A08">
              <w:rPr>
                <w:rFonts w:cs="Calibri"/>
                <w:sz w:val="22"/>
                <w:szCs w:val="22"/>
              </w:rPr>
              <w:t>Note/area of consideration</w:t>
            </w:r>
          </w:p>
        </w:tc>
        <w:tc>
          <w:tcPr>
            <w:tcW w:w="13603" w:type="dxa"/>
            <w:vAlign w:val="center"/>
          </w:tcPr>
          <w:p w14:paraId="02C844FA" w14:textId="77777777" w:rsidR="00114A08" w:rsidRPr="00114A08" w:rsidRDefault="00114A08" w:rsidP="00114A08">
            <w:pPr>
              <w:suppressAutoHyphens w:val="0"/>
              <w:spacing w:before="0" w:after="0" w:line="240" w:lineRule="auto"/>
              <w:rPr>
                <w:rFonts w:cs="Calibri"/>
                <w:color w:val="215F2E"/>
                <w:sz w:val="22"/>
                <w:szCs w:val="22"/>
              </w:rPr>
            </w:pPr>
            <w:r w:rsidRPr="00114A08">
              <w:rPr>
                <w:rFonts w:cs="Calibri"/>
                <w:sz w:val="22"/>
                <w:szCs w:val="22"/>
              </w:rPr>
              <w:t>Comment for information only</w:t>
            </w:r>
          </w:p>
        </w:tc>
      </w:tr>
    </w:tbl>
    <w:p w14:paraId="317DD820" w14:textId="77777777" w:rsidR="00114A08" w:rsidRDefault="00114A08" w:rsidP="00114A08"/>
    <w:p w14:paraId="17FA39DA" w14:textId="77777777" w:rsidR="00383937" w:rsidRDefault="00383937" w:rsidP="00114A08"/>
    <w:p w14:paraId="758A268D" w14:textId="77777777" w:rsidR="003B04C6" w:rsidRDefault="003B04C6" w:rsidP="00114A08"/>
    <w:p w14:paraId="4FF5DE91" w14:textId="77777777" w:rsidR="00C623DF" w:rsidRDefault="00C623DF">
      <w:pPr>
        <w:suppressAutoHyphens w:val="0"/>
        <w:spacing w:before="0" w:after="0" w:line="240" w:lineRule="auto"/>
        <w:rPr>
          <w:rFonts w:ascii="Franklin Gothic Medium" w:eastAsia="Arial Unicode MS" w:hAnsi="Franklin Gothic Medium" w:cs="Times New Roman (Headings CS)"/>
          <w:color w:val="2C1B57" w:themeColor="accent1" w:themeTint="E6"/>
          <w:sz w:val="28"/>
          <w:szCs w:val="30"/>
        </w:rPr>
      </w:pPr>
      <w:r>
        <w:br w:type="page"/>
      </w:r>
    </w:p>
    <w:p w14:paraId="26683785" w14:textId="77777777" w:rsidR="00D50B64" w:rsidRDefault="00D50B64" w:rsidP="00143CE0">
      <w:pPr>
        <w:pStyle w:val="Sub-heading"/>
      </w:pPr>
      <w:r w:rsidRPr="00BC4175">
        <w:t>Summary of Findings</w:t>
      </w:r>
    </w:p>
    <w:p w14:paraId="545589B4" w14:textId="77777777" w:rsidR="007B6AA8" w:rsidRDefault="007B6AA8" w:rsidP="00143CE0"/>
    <w:tbl>
      <w:tblPr>
        <w:tblStyle w:val="TableGrid"/>
        <w:tblW w:w="15306" w:type="dxa"/>
        <w:tblLook w:val="04A0" w:firstRow="1" w:lastRow="0" w:firstColumn="1" w:lastColumn="0" w:noHBand="0" w:noVBand="1"/>
      </w:tblPr>
      <w:tblGrid>
        <w:gridCol w:w="1701"/>
        <w:gridCol w:w="6802"/>
        <w:gridCol w:w="1701"/>
        <w:gridCol w:w="5102"/>
      </w:tblGrid>
      <w:tr w:rsidR="00BC4175" w:rsidRPr="00BC4175" w14:paraId="0FA9198D" w14:textId="77777777" w:rsidTr="008010C9">
        <w:trPr>
          <w:cantSplit/>
          <w:trHeight w:val="366"/>
          <w:tblHeader/>
        </w:trPr>
        <w:tc>
          <w:tcPr>
            <w:tcW w:w="1701" w:type="dxa"/>
            <w:shd w:val="clear" w:color="auto" w:fill="D9D9D9" w:themeFill="background2" w:themeFillShade="D9"/>
            <w:vAlign w:val="center"/>
          </w:tcPr>
          <w:p w14:paraId="70909D06" w14:textId="77777777" w:rsidR="00BC4175" w:rsidRPr="00BC4175" w:rsidRDefault="00BC4175" w:rsidP="00BC4175">
            <w:pPr>
              <w:spacing w:before="0" w:after="0" w:line="240" w:lineRule="auto"/>
              <w:jc w:val="center"/>
              <w:rPr>
                <w:rFonts w:eastAsia="Arial Unicode MS" w:cs="Arial"/>
                <w:szCs w:val="20"/>
              </w:rPr>
            </w:pPr>
            <w:r w:rsidRPr="00BC4175">
              <w:rPr>
                <w:rFonts w:eastAsia="Arial Unicode MS" w:cs="Arial"/>
                <w:szCs w:val="20"/>
              </w:rPr>
              <w:t>RAG</w:t>
            </w:r>
          </w:p>
        </w:tc>
        <w:tc>
          <w:tcPr>
            <w:tcW w:w="6802" w:type="dxa"/>
            <w:shd w:val="clear" w:color="auto" w:fill="D9D9D9" w:themeFill="background2" w:themeFillShade="D9"/>
            <w:vAlign w:val="center"/>
          </w:tcPr>
          <w:p w14:paraId="76E4D8D3" w14:textId="77777777" w:rsidR="00BC4175" w:rsidRPr="00BC4175" w:rsidRDefault="00BC4175" w:rsidP="00BC4175">
            <w:pPr>
              <w:spacing w:before="0" w:after="0" w:line="240" w:lineRule="auto"/>
              <w:jc w:val="center"/>
              <w:rPr>
                <w:rFonts w:eastAsia="Arial Unicode MS" w:cs="Arial"/>
                <w:szCs w:val="20"/>
              </w:rPr>
            </w:pPr>
            <w:r w:rsidRPr="00BC4175">
              <w:rPr>
                <w:rFonts w:eastAsia="Arial Unicode MS" w:cs="Arial"/>
                <w:szCs w:val="20"/>
              </w:rPr>
              <w:t>Finding</w:t>
            </w:r>
          </w:p>
        </w:tc>
        <w:tc>
          <w:tcPr>
            <w:tcW w:w="6803" w:type="dxa"/>
            <w:gridSpan w:val="2"/>
            <w:shd w:val="clear" w:color="auto" w:fill="D9D9D9" w:themeFill="background2" w:themeFillShade="D9"/>
            <w:vAlign w:val="center"/>
          </w:tcPr>
          <w:p w14:paraId="445F1B5A" w14:textId="77777777" w:rsidR="00BC4175" w:rsidRPr="00BC4175" w:rsidRDefault="00BC4175" w:rsidP="00BC4175">
            <w:pPr>
              <w:spacing w:before="0" w:after="0" w:line="240" w:lineRule="auto"/>
              <w:jc w:val="center"/>
              <w:rPr>
                <w:rFonts w:eastAsia="Arial Unicode MS" w:cs="Arial"/>
                <w:szCs w:val="20"/>
              </w:rPr>
            </w:pPr>
            <w:r w:rsidRPr="00BC4175">
              <w:rPr>
                <w:rFonts w:eastAsia="Arial Unicode MS" w:cs="Arial"/>
                <w:szCs w:val="20"/>
              </w:rPr>
              <w:t>Recommendation</w:t>
            </w:r>
          </w:p>
        </w:tc>
      </w:tr>
      <w:tr w:rsidR="00BC4175" w:rsidRPr="00BC4175" w14:paraId="448DFBEF" w14:textId="77777777" w:rsidTr="008010C9">
        <w:trPr>
          <w:cantSplit/>
          <w:trHeight w:val="454"/>
        </w:trPr>
        <w:tc>
          <w:tcPr>
            <w:tcW w:w="15306" w:type="dxa"/>
            <w:gridSpan w:val="4"/>
            <w:shd w:val="clear" w:color="auto" w:fill="2C1B57" w:themeFill="accent1" w:themeFillTint="E6"/>
          </w:tcPr>
          <w:p w14:paraId="6545DF22" w14:textId="442618A5" w:rsidR="00BC4175" w:rsidRPr="00BC4175" w:rsidRDefault="002167E5" w:rsidP="00BC4175">
            <w:pPr>
              <w:keepNext/>
              <w:keepLines/>
              <w:spacing w:before="0" w:after="0" w:line="400" w:lineRule="exact"/>
              <w:outlineLvl w:val="0"/>
              <w:rPr>
                <w:rFonts w:ascii="Franklin Gothic Medium" w:eastAsia="Arial Unicode MS" w:hAnsi="Franklin Gothic Medium" w:cs="Times New Roman (Headings CS)"/>
                <w:color w:val="FFFFFF" w:themeColor="background1"/>
                <w:sz w:val="28"/>
                <w:szCs w:val="30"/>
              </w:rPr>
            </w:pPr>
            <w:bookmarkStart w:id="1" w:name="_Hlk115696504"/>
            <w:r>
              <w:rPr>
                <w:rFonts w:ascii="Franklin Gothic Medium" w:eastAsia="Arial Unicode MS" w:hAnsi="Franklin Gothic Medium" w:cs="Times New Roman (Headings CS)"/>
                <w:color w:val="FFFFFF" w:themeColor="background1"/>
                <w:sz w:val="28"/>
                <w:szCs w:val="30"/>
              </w:rPr>
              <w:t>Procurement</w:t>
            </w:r>
          </w:p>
        </w:tc>
      </w:tr>
      <w:bookmarkEnd w:id="1"/>
      <w:tr w:rsidR="006D5131" w:rsidRPr="00BC4175" w14:paraId="610BE9E9" w14:textId="77777777" w:rsidTr="0044036A">
        <w:trPr>
          <w:cantSplit/>
        </w:trPr>
        <w:tc>
          <w:tcPr>
            <w:tcW w:w="1701" w:type="dxa"/>
            <w:shd w:val="clear" w:color="000000" w:fill="FFFF99"/>
            <w:vAlign w:val="center"/>
          </w:tcPr>
          <w:p w14:paraId="1606DED6" w14:textId="3A1405F3" w:rsidR="006D5131" w:rsidRPr="009E688A" w:rsidRDefault="006D5131" w:rsidP="006D5131">
            <w:pPr>
              <w:rPr>
                <w:rFonts w:eastAsia="Arial Unicode MS"/>
                <w:bCs/>
                <w:color w:val="3C3060"/>
                <w:sz w:val="18"/>
                <w:szCs w:val="22"/>
              </w:rPr>
            </w:pPr>
            <w:r>
              <w:rPr>
                <w:rFonts w:cs="Calibri"/>
                <w:color w:val="C4703C"/>
                <w:sz w:val="22"/>
                <w:szCs w:val="22"/>
              </w:rPr>
              <w:t>Medium Priority</w:t>
            </w:r>
          </w:p>
        </w:tc>
        <w:tc>
          <w:tcPr>
            <w:tcW w:w="6802" w:type="dxa"/>
            <w:tcBorders>
              <w:top w:val="single" w:sz="4" w:space="0" w:color="auto"/>
              <w:left w:val="single" w:sz="4" w:space="0" w:color="auto"/>
              <w:bottom w:val="single" w:sz="4" w:space="0" w:color="auto"/>
              <w:right w:val="single" w:sz="4" w:space="0" w:color="auto"/>
            </w:tcBorders>
            <w:shd w:val="clear" w:color="auto" w:fill="auto"/>
          </w:tcPr>
          <w:p w14:paraId="209F7782" w14:textId="27882D64" w:rsidR="000314C1" w:rsidRPr="007A6720" w:rsidRDefault="006D5131" w:rsidP="00915107">
            <w:pPr>
              <w:rPr>
                <w:rFonts w:cs="Calibri"/>
                <w:color w:val="1A1A1A"/>
                <w:sz w:val="22"/>
                <w:szCs w:val="22"/>
              </w:rPr>
            </w:pPr>
            <w:r w:rsidRPr="00F76B1A">
              <w:rPr>
                <w:rFonts w:cs="Calibri"/>
                <w:color w:val="1A1A1A"/>
                <w:sz w:val="22"/>
                <w:szCs w:val="22"/>
              </w:rPr>
              <w:t>The Financial Regulations specify that payments above £</w:t>
            </w:r>
            <w:r>
              <w:rPr>
                <w:rFonts w:cs="Calibri"/>
                <w:color w:val="1A1A1A"/>
                <w:sz w:val="22"/>
                <w:szCs w:val="22"/>
              </w:rPr>
              <w:t>50,000</w:t>
            </w:r>
            <w:r w:rsidRPr="00F76B1A">
              <w:rPr>
                <w:rFonts w:cs="Calibri"/>
                <w:color w:val="1A1A1A"/>
                <w:sz w:val="22"/>
                <w:szCs w:val="22"/>
              </w:rPr>
              <w:t xml:space="preserve"> must be approved by </w:t>
            </w:r>
            <w:r>
              <w:rPr>
                <w:rFonts w:cs="Calibri"/>
                <w:color w:val="1A1A1A"/>
                <w:sz w:val="22"/>
                <w:szCs w:val="22"/>
              </w:rPr>
              <w:t>the Chair o</w:t>
            </w:r>
            <w:r w:rsidR="00301A02">
              <w:rPr>
                <w:rFonts w:cs="Calibri"/>
                <w:color w:val="1A1A1A"/>
                <w:sz w:val="22"/>
                <w:szCs w:val="22"/>
              </w:rPr>
              <w:t>r</w:t>
            </w:r>
            <w:r>
              <w:rPr>
                <w:rFonts w:cs="Calibri"/>
                <w:color w:val="1A1A1A"/>
                <w:sz w:val="22"/>
                <w:szCs w:val="22"/>
              </w:rPr>
              <w:t xml:space="preserve"> Vice Chair of Trustees</w:t>
            </w:r>
            <w:r w:rsidRPr="00F76B1A">
              <w:rPr>
                <w:rFonts w:cs="Calibri"/>
                <w:color w:val="1A1A1A"/>
                <w:sz w:val="22"/>
                <w:szCs w:val="22"/>
              </w:rPr>
              <w:t>. The purchase order</w:t>
            </w:r>
            <w:r>
              <w:rPr>
                <w:rFonts w:cs="Calibri"/>
                <w:color w:val="1A1A1A"/>
                <w:sz w:val="22"/>
                <w:szCs w:val="22"/>
              </w:rPr>
              <w:t xml:space="preserve"> 12397 for Churchill Contract Services (cleaning) for £153,700 had not been approved by the Chair or Vice Chair of Trustees.</w:t>
            </w:r>
          </w:p>
        </w:tc>
        <w:tc>
          <w:tcPr>
            <w:tcW w:w="6803" w:type="dxa"/>
            <w:gridSpan w:val="2"/>
            <w:tcBorders>
              <w:top w:val="single" w:sz="4" w:space="0" w:color="auto"/>
              <w:left w:val="nil"/>
              <w:bottom w:val="single" w:sz="4" w:space="0" w:color="auto"/>
              <w:right w:val="single" w:sz="4" w:space="0" w:color="auto"/>
            </w:tcBorders>
            <w:shd w:val="clear" w:color="auto" w:fill="auto"/>
          </w:tcPr>
          <w:p w14:paraId="20B87FCF" w14:textId="7715C67B" w:rsidR="006D5131" w:rsidRPr="00F76B1A" w:rsidRDefault="006D5131" w:rsidP="006D5131">
            <w:pPr>
              <w:rPr>
                <w:sz w:val="22"/>
                <w:szCs w:val="26"/>
              </w:rPr>
            </w:pPr>
            <w:r w:rsidRPr="00F76B1A">
              <w:rPr>
                <w:rFonts w:cs="Calibri"/>
                <w:color w:val="1A1A1A"/>
                <w:sz w:val="22"/>
                <w:szCs w:val="22"/>
              </w:rPr>
              <w:t>All expenditure must be approved as specified in the Financial Regulations. This authorisation should be evidenced by the signature of an authorised signatory on the purchase order or, in exceptional circumstances if an order has not been raised, by the signature of an authorised signatory on the invoice.</w:t>
            </w:r>
          </w:p>
        </w:tc>
      </w:tr>
      <w:tr w:rsidR="006D5131" w:rsidRPr="00BC4175" w14:paraId="63250863" w14:textId="77777777" w:rsidTr="008010C9">
        <w:trPr>
          <w:cantSplit/>
          <w:trHeight w:val="426"/>
        </w:trPr>
        <w:tc>
          <w:tcPr>
            <w:tcW w:w="1701" w:type="dxa"/>
            <w:shd w:val="clear" w:color="auto" w:fill="auto"/>
          </w:tcPr>
          <w:p w14:paraId="211974F3" w14:textId="77777777" w:rsidR="006D5131" w:rsidRPr="00BC4175" w:rsidRDefault="006D5131" w:rsidP="006D5131">
            <w:pPr>
              <w:keepNext/>
              <w:keepLines/>
              <w:spacing w:before="80" w:after="80" w:line="300" w:lineRule="exact"/>
              <w:outlineLvl w:val="0"/>
              <w:rPr>
                <w:rFonts w:eastAsia="Arial Unicode MS" w:cs="Times New Roman (Headings CS)"/>
                <w:i/>
                <w:iCs/>
                <w:sz w:val="22"/>
                <w:szCs w:val="22"/>
              </w:rPr>
            </w:pPr>
            <w:r w:rsidRPr="00BC4175">
              <w:rPr>
                <w:rFonts w:eastAsia="Arial Unicode MS" w:cs="Times New Roman (Headings CS)"/>
                <w:i/>
                <w:iCs/>
                <w:sz w:val="22"/>
                <w:szCs w:val="22"/>
              </w:rPr>
              <w:t>Management Response:</w:t>
            </w:r>
          </w:p>
        </w:tc>
        <w:tc>
          <w:tcPr>
            <w:tcW w:w="6802" w:type="dxa"/>
            <w:shd w:val="clear" w:color="auto" w:fill="auto"/>
            <w:vAlign w:val="center"/>
          </w:tcPr>
          <w:p w14:paraId="68A857EE" w14:textId="77777777" w:rsidR="006D5131" w:rsidRPr="00BC4175" w:rsidRDefault="006D5131" w:rsidP="006D5131">
            <w:pPr>
              <w:keepNext/>
              <w:keepLines/>
              <w:spacing w:before="80" w:after="80" w:line="300" w:lineRule="exact"/>
              <w:outlineLvl w:val="0"/>
              <w:rPr>
                <w:rFonts w:eastAsia="Arial Unicode MS" w:cs="Times New Roman (Headings CS)"/>
                <w:i/>
                <w:iCs/>
                <w:sz w:val="22"/>
                <w:szCs w:val="22"/>
              </w:rPr>
            </w:pPr>
          </w:p>
        </w:tc>
        <w:tc>
          <w:tcPr>
            <w:tcW w:w="1701" w:type="dxa"/>
            <w:shd w:val="clear" w:color="auto" w:fill="auto"/>
          </w:tcPr>
          <w:p w14:paraId="1D423482" w14:textId="77777777" w:rsidR="006D5131" w:rsidRPr="00BC4175" w:rsidRDefault="006D5131" w:rsidP="006D5131">
            <w:pPr>
              <w:keepNext/>
              <w:keepLines/>
              <w:spacing w:before="80" w:after="80" w:line="300" w:lineRule="exact"/>
              <w:outlineLvl w:val="0"/>
              <w:rPr>
                <w:rFonts w:eastAsia="Arial Unicode MS" w:cs="Times New Roman (Headings CS)"/>
                <w:i/>
                <w:iCs/>
                <w:sz w:val="22"/>
                <w:szCs w:val="22"/>
              </w:rPr>
            </w:pPr>
            <w:r w:rsidRPr="00BC4175">
              <w:rPr>
                <w:rFonts w:eastAsia="Arial Unicode MS" w:cs="Times New Roman (Headings CS)"/>
                <w:i/>
                <w:iCs/>
                <w:sz w:val="22"/>
                <w:szCs w:val="22"/>
              </w:rPr>
              <w:t>Responsibility / Due Date:</w:t>
            </w:r>
          </w:p>
        </w:tc>
        <w:tc>
          <w:tcPr>
            <w:tcW w:w="5102" w:type="dxa"/>
            <w:shd w:val="clear" w:color="auto" w:fill="auto"/>
          </w:tcPr>
          <w:p w14:paraId="0FE51A0C" w14:textId="77777777" w:rsidR="006D5131" w:rsidRPr="00BC4175" w:rsidRDefault="006D5131" w:rsidP="006D5131">
            <w:pPr>
              <w:keepNext/>
              <w:keepLines/>
              <w:spacing w:before="80" w:after="80" w:line="300" w:lineRule="exact"/>
              <w:outlineLvl w:val="0"/>
              <w:rPr>
                <w:rFonts w:eastAsia="Arial Unicode MS" w:cs="Times New Roman (Headings CS)"/>
                <w:i/>
                <w:iCs/>
                <w:sz w:val="22"/>
                <w:szCs w:val="22"/>
              </w:rPr>
            </w:pPr>
          </w:p>
        </w:tc>
      </w:tr>
      <w:tr w:rsidR="006D5131" w:rsidRPr="00071133" w14:paraId="0755CF40" w14:textId="77777777" w:rsidTr="006D5131">
        <w:trPr>
          <w:cantSplit/>
        </w:trPr>
        <w:tc>
          <w:tcPr>
            <w:tcW w:w="1701" w:type="dxa"/>
            <w:shd w:val="clear" w:color="000000" w:fill="CDEDD3"/>
            <w:vAlign w:val="center"/>
          </w:tcPr>
          <w:p w14:paraId="67CA553A" w14:textId="4B6FE22A" w:rsidR="006D5131" w:rsidRPr="009E688A" w:rsidRDefault="006D5131" w:rsidP="006D5131">
            <w:pPr>
              <w:rPr>
                <w:rFonts w:eastAsia="Arial Unicode MS"/>
                <w:bCs/>
                <w:color w:val="3C3060"/>
                <w:sz w:val="18"/>
                <w:szCs w:val="22"/>
              </w:rPr>
            </w:pPr>
            <w:r>
              <w:rPr>
                <w:rFonts w:cs="Calibri"/>
                <w:color w:val="215F2E"/>
                <w:sz w:val="22"/>
                <w:szCs w:val="22"/>
              </w:rPr>
              <w:t>Low Priority</w:t>
            </w:r>
          </w:p>
        </w:tc>
        <w:tc>
          <w:tcPr>
            <w:tcW w:w="6802" w:type="dxa"/>
            <w:tcBorders>
              <w:top w:val="single" w:sz="4" w:space="0" w:color="auto"/>
              <w:left w:val="single" w:sz="4" w:space="0" w:color="auto"/>
              <w:bottom w:val="single" w:sz="4" w:space="0" w:color="auto"/>
              <w:right w:val="single" w:sz="4" w:space="0" w:color="auto"/>
            </w:tcBorders>
            <w:shd w:val="clear" w:color="auto" w:fill="auto"/>
          </w:tcPr>
          <w:p w14:paraId="58347E1E" w14:textId="4379DCC9" w:rsidR="006D5131" w:rsidRPr="006D5131" w:rsidRDefault="006D5131" w:rsidP="006D5131">
            <w:pPr>
              <w:rPr>
                <w:sz w:val="22"/>
                <w:szCs w:val="26"/>
              </w:rPr>
            </w:pPr>
            <w:r w:rsidRPr="006D5131">
              <w:rPr>
                <w:rFonts w:cs="Calibri"/>
                <w:color w:val="1A1A1A"/>
                <w:sz w:val="22"/>
                <w:szCs w:val="22"/>
              </w:rPr>
              <w:t xml:space="preserve">The sample highlighted </w:t>
            </w:r>
            <w:r w:rsidR="00301A02">
              <w:rPr>
                <w:rFonts w:cs="Calibri"/>
                <w:color w:val="1A1A1A"/>
                <w:sz w:val="22"/>
                <w:szCs w:val="22"/>
              </w:rPr>
              <w:t>three</w:t>
            </w:r>
            <w:r w:rsidRPr="006D5131">
              <w:rPr>
                <w:rFonts w:cs="Calibri"/>
                <w:color w:val="1A1A1A"/>
                <w:sz w:val="22"/>
                <w:szCs w:val="22"/>
              </w:rPr>
              <w:t xml:space="preserve"> orders dated after the invoice date.</w:t>
            </w:r>
          </w:p>
        </w:tc>
        <w:tc>
          <w:tcPr>
            <w:tcW w:w="6803" w:type="dxa"/>
            <w:gridSpan w:val="2"/>
            <w:tcBorders>
              <w:top w:val="single" w:sz="4" w:space="0" w:color="auto"/>
              <w:left w:val="nil"/>
              <w:bottom w:val="single" w:sz="4" w:space="0" w:color="auto"/>
              <w:right w:val="single" w:sz="4" w:space="0" w:color="auto"/>
            </w:tcBorders>
            <w:shd w:val="clear" w:color="auto" w:fill="auto"/>
          </w:tcPr>
          <w:p w14:paraId="70D71BE3" w14:textId="6E5968A6" w:rsidR="006D5131" w:rsidRPr="006D5131" w:rsidRDefault="006D5131" w:rsidP="006D5131">
            <w:pPr>
              <w:rPr>
                <w:rFonts w:cs="Calibri"/>
                <w:color w:val="FF0000"/>
                <w:sz w:val="22"/>
                <w:szCs w:val="22"/>
              </w:rPr>
            </w:pPr>
            <w:r w:rsidRPr="006D5131">
              <w:rPr>
                <w:rFonts w:cs="Calibri"/>
                <w:color w:val="1A1A1A"/>
                <w:sz w:val="22"/>
                <w:szCs w:val="22"/>
              </w:rPr>
              <w:t xml:space="preserve">Raising an order allows the authorising signatory to review and approve the order prior to an invoice being received for goods or services supplied and is also the means by which the funds required for goods/services are committed on the financial accounting system. Raising commitments helps to avoid over committing expenditure budgets and placing a strain on cash and will also ensure that reports generated from the financial system reflect an accurate financial position. </w:t>
            </w:r>
          </w:p>
        </w:tc>
      </w:tr>
      <w:tr w:rsidR="006D5131" w:rsidRPr="00BC4175" w14:paraId="4C5D8B21" w14:textId="77777777" w:rsidTr="000E417C">
        <w:trPr>
          <w:cantSplit/>
          <w:trHeight w:val="426"/>
        </w:trPr>
        <w:tc>
          <w:tcPr>
            <w:tcW w:w="1701" w:type="dxa"/>
            <w:shd w:val="clear" w:color="auto" w:fill="auto"/>
          </w:tcPr>
          <w:p w14:paraId="01FC806D" w14:textId="77777777" w:rsidR="006D5131" w:rsidRPr="00BC4175" w:rsidRDefault="006D5131" w:rsidP="006D5131">
            <w:pPr>
              <w:keepNext/>
              <w:keepLines/>
              <w:spacing w:before="80" w:after="80" w:line="300" w:lineRule="exact"/>
              <w:outlineLvl w:val="0"/>
              <w:rPr>
                <w:rFonts w:eastAsia="Arial Unicode MS" w:cs="Times New Roman (Headings CS)"/>
                <w:i/>
                <w:iCs/>
                <w:sz w:val="22"/>
                <w:szCs w:val="22"/>
              </w:rPr>
            </w:pPr>
            <w:r w:rsidRPr="00BC4175">
              <w:rPr>
                <w:rFonts w:eastAsia="Arial Unicode MS" w:cs="Times New Roman (Headings CS)"/>
                <w:i/>
                <w:iCs/>
                <w:sz w:val="22"/>
                <w:szCs w:val="22"/>
              </w:rPr>
              <w:t>Management Response:</w:t>
            </w:r>
          </w:p>
        </w:tc>
        <w:tc>
          <w:tcPr>
            <w:tcW w:w="6802" w:type="dxa"/>
            <w:shd w:val="clear" w:color="auto" w:fill="auto"/>
            <w:vAlign w:val="center"/>
          </w:tcPr>
          <w:p w14:paraId="4ED79596" w14:textId="77777777" w:rsidR="006D5131" w:rsidRPr="00BC4175" w:rsidRDefault="006D5131" w:rsidP="006D5131">
            <w:pPr>
              <w:keepNext/>
              <w:keepLines/>
              <w:spacing w:before="80" w:after="80" w:line="300" w:lineRule="exact"/>
              <w:outlineLvl w:val="0"/>
              <w:rPr>
                <w:rFonts w:eastAsia="Arial Unicode MS" w:cs="Times New Roman (Headings CS)"/>
                <w:i/>
                <w:iCs/>
                <w:sz w:val="22"/>
                <w:szCs w:val="22"/>
              </w:rPr>
            </w:pPr>
          </w:p>
        </w:tc>
        <w:tc>
          <w:tcPr>
            <w:tcW w:w="1701" w:type="dxa"/>
            <w:shd w:val="clear" w:color="auto" w:fill="auto"/>
          </w:tcPr>
          <w:p w14:paraId="3F9279FB" w14:textId="77777777" w:rsidR="006D5131" w:rsidRPr="00BC4175" w:rsidRDefault="006D5131" w:rsidP="006D5131">
            <w:pPr>
              <w:keepNext/>
              <w:keepLines/>
              <w:spacing w:before="80" w:after="80" w:line="300" w:lineRule="exact"/>
              <w:outlineLvl w:val="0"/>
              <w:rPr>
                <w:rFonts w:eastAsia="Arial Unicode MS" w:cs="Times New Roman (Headings CS)"/>
                <w:i/>
                <w:iCs/>
                <w:sz w:val="22"/>
                <w:szCs w:val="22"/>
              </w:rPr>
            </w:pPr>
            <w:r w:rsidRPr="00BC4175">
              <w:rPr>
                <w:rFonts w:eastAsia="Arial Unicode MS" w:cs="Times New Roman (Headings CS)"/>
                <w:i/>
                <w:iCs/>
                <w:sz w:val="22"/>
                <w:szCs w:val="22"/>
              </w:rPr>
              <w:t>Responsibility / Due Date:</w:t>
            </w:r>
          </w:p>
        </w:tc>
        <w:tc>
          <w:tcPr>
            <w:tcW w:w="5102" w:type="dxa"/>
            <w:shd w:val="clear" w:color="auto" w:fill="auto"/>
          </w:tcPr>
          <w:p w14:paraId="715E5E88" w14:textId="77777777" w:rsidR="006D5131" w:rsidRPr="00BC4175" w:rsidRDefault="006D5131" w:rsidP="006D5131">
            <w:pPr>
              <w:keepNext/>
              <w:keepLines/>
              <w:spacing w:before="80" w:after="80" w:line="300" w:lineRule="exact"/>
              <w:outlineLvl w:val="0"/>
              <w:rPr>
                <w:rFonts w:eastAsia="Arial Unicode MS" w:cs="Times New Roman (Headings CS)"/>
                <w:i/>
                <w:iCs/>
                <w:sz w:val="22"/>
                <w:szCs w:val="22"/>
              </w:rPr>
            </w:pPr>
          </w:p>
        </w:tc>
      </w:tr>
    </w:tbl>
    <w:p w14:paraId="60CAC043" w14:textId="77777777" w:rsidR="001F6614" w:rsidRDefault="001F6614">
      <w:r>
        <w:br w:type="page"/>
      </w:r>
    </w:p>
    <w:tbl>
      <w:tblPr>
        <w:tblStyle w:val="TableGrid"/>
        <w:tblW w:w="15306" w:type="dxa"/>
        <w:tblLook w:val="04A0" w:firstRow="1" w:lastRow="0" w:firstColumn="1" w:lastColumn="0" w:noHBand="0" w:noVBand="1"/>
      </w:tblPr>
      <w:tblGrid>
        <w:gridCol w:w="1701"/>
        <w:gridCol w:w="6802"/>
        <w:gridCol w:w="1701"/>
        <w:gridCol w:w="5102"/>
      </w:tblGrid>
      <w:tr w:rsidR="001F6614" w:rsidRPr="00BC4175" w14:paraId="10C9A177" w14:textId="77777777" w:rsidTr="000E417C">
        <w:trPr>
          <w:cantSplit/>
          <w:trHeight w:val="366"/>
          <w:tblHeader/>
        </w:trPr>
        <w:tc>
          <w:tcPr>
            <w:tcW w:w="1701" w:type="dxa"/>
            <w:shd w:val="clear" w:color="auto" w:fill="D9D9D9" w:themeFill="background2" w:themeFillShade="D9"/>
            <w:vAlign w:val="center"/>
          </w:tcPr>
          <w:p w14:paraId="231F3814" w14:textId="77777777" w:rsidR="001F6614" w:rsidRPr="00BC4175" w:rsidRDefault="001F6614" w:rsidP="000E417C">
            <w:pPr>
              <w:spacing w:before="0" w:after="0" w:line="240" w:lineRule="auto"/>
              <w:jc w:val="center"/>
              <w:rPr>
                <w:rFonts w:eastAsia="Arial Unicode MS" w:cs="Arial"/>
                <w:szCs w:val="20"/>
              </w:rPr>
            </w:pPr>
            <w:r w:rsidRPr="00BC4175">
              <w:rPr>
                <w:rFonts w:eastAsia="Arial Unicode MS" w:cs="Arial"/>
                <w:szCs w:val="20"/>
              </w:rPr>
              <w:t>RAG</w:t>
            </w:r>
          </w:p>
        </w:tc>
        <w:tc>
          <w:tcPr>
            <w:tcW w:w="6802" w:type="dxa"/>
            <w:shd w:val="clear" w:color="auto" w:fill="D9D9D9" w:themeFill="background2" w:themeFillShade="D9"/>
            <w:vAlign w:val="center"/>
          </w:tcPr>
          <w:p w14:paraId="7FB70DE3" w14:textId="77777777" w:rsidR="001F6614" w:rsidRPr="00BC4175" w:rsidRDefault="001F6614" w:rsidP="000E417C">
            <w:pPr>
              <w:spacing w:before="0" w:after="0" w:line="240" w:lineRule="auto"/>
              <w:jc w:val="center"/>
              <w:rPr>
                <w:rFonts w:eastAsia="Arial Unicode MS" w:cs="Arial"/>
                <w:szCs w:val="20"/>
              </w:rPr>
            </w:pPr>
            <w:r w:rsidRPr="00BC4175">
              <w:rPr>
                <w:rFonts w:eastAsia="Arial Unicode MS" w:cs="Arial"/>
                <w:szCs w:val="20"/>
              </w:rPr>
              <w:t>Finding</w:t>
            </w:r>
          </w:p>
        </w:tc>
        <w:tc>
          <w:tcPr>
            <w:tcW w:w="6803" w:type="dxa"/>
            <w:gridSpan w:val="2"/>
            <w:shd w:val="clear" w:color="auto" w:fill="D9D9D9" w:themeFill="background2" w:themeFillShade="D9"/>
            <w:vAlign w:val="center"/>
          </w:tcPr>
          <w:p w14:paraId="2C9CA744" w14:textId="77777777" w:rsidR="001F6614" w:rsidRPr="00BC4175" w:rsidRDefault="001F6614" w:rsidP="000E417C">
            <w:pPr>
              <w:spacing w:before="0" w:after="0" w:line="240" w:lineRule="auto"/>
              <w:jc w:val="center"/>
              <w:rPr>
                <w:rFonts w:eastAsia="Arial Unicode MS" w:cs="Arial"/>
                <w:szCs w:val="20"/>
              </w:rPr>
            </w:pPr>
            <w:r w:rsidRPr="00BC4175">
              <w:rPr>
                <w:rFonts w:eastAsia="Arial Unicode MS" w:cs="Arial"/>
                <w:szCs w:val="20"/>
              </w:rPr>
              <w:t>Recommendation</w:t>
            </w:r>
          </w:p>
        </w:tc>
      </w:tr>
      <w:tr w:rsidR="00491383" w:rsidRPr="00071133" w14:paraId="0F760161" w14:textId="77777777" w:rsidTr="00491383">
        <w:trPr>
          <w:cantSplit/>
        </w:trPr>
        <w:tc>
          <w:tcPr>
            <w:tcW w:w="1701" w:type="dxa"/>
            <w:shd w:val="clear" w:color="000000" w:fill="CDEDD3"/>
            <w:vAlign w:val="center"/>
          </w:tcPr>
          <w:p w14:paraId="0A704DA6" w14:textId="17097499" w:rsidR="00491383" w:rsidRPr="009E688A" w:rsidRDefault="00491383" w:rsidP="00491383">
            <w:pPr>
              <w:rPr>
                <w:rFonts w:eastAsia="Arial Unicode MS"/>
                <w:bCs/>
                <w:color w:val="3C3060"/>
                <w:sz w:val="18"/>
                <w:szCs w:val="22"/>
              </w:rPr>
            </w:pPr>
            <w:r>
              <w:rPr>
                <w:rFonts w:cs="Calibri"/>
                <w:color w:val="215F2E"/>
                <w:sz w:val="22"/>
                <w:szCs w:val="22"/>
              </w:rPr>
              <w:t>Low Priority</w:t>
            </w:r>
          </w:p>
        </w:tc>
        <w:tc>
          <w:tcPr>
            <w:tcW w:w="6802" w:type="dxa"/>
            <w:tcBorders>
              <w:top w:val="single" w:sz="4" w:space="0" w:color="auto"/>
              <w:left w:val="single" w:sz="4" w:space="0" w:color="auto"/>
              <w:bottom w:val="single" w:sz="4" w:space="0" w:color="auto"/>
              <w:right w:val="single" w:sz="4" w:space="0" w:color="auto"/>
            </w:tcBorders>
            <w:shd w:val="clear" w:color="auto" w:fill="auto"/>
          </w:tcPr>
          <w:p w14:paraId="115F92A1" w14:textId="6065ECE9" w:rsidR="00491383" w:rsidRPr="00491383" w:rsidRDefault="00491383" w:rsidP="00491383">
            <w:pPr>
              <w:rPr>
                <w:sz w:val="22"/>
                <w:szCs w:val="26"/>
              </w:rPr>
            </w:pPr>
            <w:r w:rsidRPr="00491383">
              <w:rPr>
                <w:rFonts w:cs="Calibri"/>
                <w:color w:val="1A1A1A"/>
                <w:sz w:val="22"/>
                <w:szCs w:val="22"/>
              </w:rPr>
              <w:t>The academy</w:t>
            </w:r>
            <w:r>
              <w:rPr>
                <w:rFonts w:cs="Calibri"/>
                <w:color w:val="1A1A1A"/>
                <w:sz w:val="22"/>
                <w:szCs w:val="22"/>
              </w:rPr>
              <w:t>’</w:t>
            </w:r>
            <w:r w:rsidR="00D13FB4">
              <w:rPr>
                <w:rFonts w:cs="Calibri"/>
                <w:color w:val="1A1A1A"/>
                <w:sz w:val="22"/>
                <w:szCs w:val="22"/>
              </w:rPr>
              <w:t>s</w:t>
            </w:r>
            <w:r>
              <w:rPr>
                <w:rFonts w:cs="Calibri"/>
                <w:color w:val="1A1A1A"/>
                <w:sz w:val="22"/>
                <w:szCs w:val="22"/>
              </w:rPr>
              <w:t xml:space="preserve"> contract</w:t>
            </w:r>
            <w:r w:rsidR="00991D56">
              <w:rPr>
                <w:rFonts w:cs="Calibri"/>
                <w:color w:val="1A1A1A"/>
                <w:sz w:val="22"/>
                <w:szCs w:val="22"/>
              </w:rPr>
              <w:t>/regular supplier</w:t>
            </w:r>
            <w:r>
              <w:rPr>
                <w:rFonts w:cs="Calibri"/>
                <w:color w:val="1A1A1A"/>
                <w:sz w:val="22"/>
                <w:szCs w:val="22"/>
              </w:rPr>
              <w:t xml:space="preserve"> register is not up to date.</w:t>
            </w:r>
          </w:p>
        </w:tc>
        <w:tc>
          <w:tcPr>
            <w:tcW w:w="6803" w:type="dxa"/>
            <w:gridSpan w:val="2"/>
            <w:tcBorders>
              <w:top w:val="single" w:sz="4" w:space="0" w:color="auto"/>
              <w:left w:val="nil"/>
              <w:bottom w:val="single" w:sz="4" w:space="0" w:color="auto"/>
              <w:right w:val="single" w:sz="4" w:space="0" w:color="auto"/>
            </w:tcBorders>
            <w:shd w:val="clear" w:color="auto" w:fill="auto"/>
          </w:tcPr>
          <w:p w14:paraId="1A88DC3E" w14:textId="50E98907" w:rsidR="00491383" w:rsidRPr="00491383" w:rsidRDefault="00991D56" w:rsidP="00491383">
            <w:pPr>
              <w:rPr>
                <w:sz w:val="22"/>
                <w:szCs w:val="26"/>
              </w:rPr>
            </w:pPr>
            <w:r>
              <w:rPr>
                <w:rFonts w:cs="Calibri"/>
                <w:color w:val="1A1A1A"/>
                <w:sz w:val="22"/>
                <w:szCs w:val="22"/>
              </w:rPr>
              <w:t>The academy’s contract/regular supplier register should be brought up to date</w:t>
            </w:r>
            <w:r w:rsidR="004668CD">
              <w:rPr>
                <w:rFonts w:cs="Calibri"/>
                <w:color w:val="1A1A1A"/>
                <w:sz w:val="22"/>
                <w:szCs w:val="22"/>
              </w:rPr>
              <w:t>.</w:t>
            </w:r>
            <w:r w:rsidR="00491383" w:rsidRPr="00491383">
              <w:rPr>
                <w:rFonts w:cs="Calibri"/>
                <w:color w:val="1A1A1A"/>
                <w:sz w:val="22"/>
                <w:szCs w:val="22"/>
              </w:rPr>
              <w:br/>
            </w:r>
            <w:r w:rsidR="00491383" w:rsidRPr="00491383">
              <w:rPr>
                <w:rFonts w:cs="Calibri"/>
                <w:color w:val="1A1A1A"/>
                <w:sz w:val="22"/>
                <w:szCs w:val="22"/>
              </w:rPr>
              <w:br/>
              <w:t xml:space="preserve">The register should be shared with trust boards or local governing bodies, depending on the scheme of delegation, regularly to make them aware of any upcoming milestones in the contract register timetable and provide them an opportunity to challenge procurement </w:t>
            </w:r>
            <w:r w:rsidR="00491383" w:rsidRPr="00491383">
              <w:rPr>
                <w:rFonts w:cs="Calibri"/>
                <w:color w:val="1A1A1A"/>
                <w:sz w:val="22"/>
                <w:szCs w:val="22"/>
              </w:rPr>
              <w:br/>
              <w:t>plans.</w:t>
            </w:r>
          </w:p>
        </w:tc>
      </w:tr>
      <w:tr w:rsidR="0027036D" w:rsidRPr="00BC4175" w14:paraId="0DFF38D2" w14:textId="77777777" w:rsidTr="000E417C">
        <w:trPr>
          <w:cantSplit/>
          <w:trHeight w:val="426"/>
        </w:trPr>
        <w:tc>
          <w:tcPr>
            <w:tcW w:w="1701" w:type="dxa"/>
            <w:shd w:val="clear" w:color="auto" w:fill="auto"/>
          </w:tcPr>
          <w:p w14:paraId="3D1FAB53" w14:textId="77777777" w:rsidR="0027036D" w:rsidRPr="00BC4175" w:rsidRDefault="0027036D" w:rsidP="0027036D">
            <w:pPr>
              <w:keepNext/>
              <w:keepLines/>
              <w:spacing w:before="80" w:after="80" w:line="300" w:lineRule="exact"/>
              <w:outlineLvl w:val="0"/>
              <w:rPr>
                <w:rFonts w:eastAsia="Arial Unicode MS" w:cs="Times New Roman (Headings CS)"/>
                <w:i/>
                <w:iCs/>
                <w:sz w:val="22"/>
                <w:szCs w:val="22"/>
              </w:rPr>
            </w:pPr>
            <w:r w:rsidRPr="00BC4175">
              <w:rPr>
                <w:rFonts w:eastAsia="Arial Unicode MS" w:cs="Times New Roman (Headings CS)"/>
                <w:i/>
                <w:iCs/>
                <w:sz w:val="22"/>
                <w:szCs w:val="22"/>
              </w:rPr>
              <w:t>Management Response:</w:t>
            </w:r>
          </w:p>
        </w:tc>
        <w:tc>
          <w:tcPr>
            <w:tcW w:w="6802" w:type="dxa"/>
            <w:shd w:val="clear" w:color="auto" w:fill="auto"/>
            <w:vAlign w:val="center"/>
          </w:tcPr>
          <w:p w14:paraId="02FC54C4" w14:textId="77777777" w:rsidR="0027036D" w:rsidRPr="00BC4175" w:rsidRDefault="0027036D" w:rsidP="0027036D">
            <w:pPr>
              <w:keepNext/>
              <w:keepLines/>
              <w:spacing w:before="80" w:after="80" w:line="300" w:lineRule="exact"/>
              <w:outlineLvl w:val="0"/>
              <w:rPr>
                <w:rFonts w:eastAsia="Arial Unicode MS" w:cs="Times New Roman (Headings CS)"/>
                <w:i/>
                <w:iCs/>
                <w:sz w:val="22"/>
                <w:szCs w:val="22"/>
              </w:rPr>
            </w:pPr>
          </w:p>
        </w:tc>
        <w:tc>
          <w:tcPr>
            <w:tcW w:w="1701" w:type="dxa"/>
            <w:shd w:val="clear" w:color="auto" w:fill="auto"/>
          </w:tcPr>
          <w:p w14:paraId="254C8CDD" w14:textId="77777777" w:rsidR="0027036D" w:rsidRPr="00BC4175" w:rsidRDefault="0027036D" w:rsidP="0027036D">
            <w:pPr>
              <w:keepNext/>
              <w:keepLines/>
              <w:spacing w:before="80" w:after="80" w:line="300" w:lineRule="exact"/>
              <w:outlineLvl w:val="0"/>
              <w:rPr>
                <w:rFonts w:eastAsia="Arial Unicode MS" w:cs="Times New Roman (Headings CS)"/>
                <w:i/>
                <w:iCs/>
                <w:sz w:val="22"/>
                <w:szCs w:val="22"/>
              </w:rPr>
            </w:pPr>
            <w:r w:rsidRPr="00BC4175">
              <w:rPr>
                <w:rFonts w:eastAsia="Arial Unicode MS" w:cs="Times New Roman (Headings CS)"/>
                <w:i/>
                <w:iCs/>
                <w:sz w:val="22"/>
                <w:szCs w:val="22"/>
              </w:rPr>
              <w:t>Responsibility / Due Date:</w:t>
            </w:r>
          </w:p>
        </w:tc>
        <w:tc>
          <w:tcPr>
            <w:tcW w:w="5102" w:type="dxa"/>
            <w:shd w:val="clear" w:color="auto" w:fill="auto"/>
          </w:tcPr>
          <w:p w14:paraId="04C4D3D5" w14:textId="77777777" w:rsidR="0027036D" w:rsidRPr="00BC4175" w:rsidRDefault="0027036D" w:rsidP="0027036D">
            <w:pPr>
              <w:keepNext/>
              <w:keepLines/>
              <w:spacing w:before="80" w:after="80" w:line="300" w:lineRule="exact"/>
              <w:outlineLvl w:val="0"/>
              <w:rPr>
                <w:rFonts w:eastAsia="Arial Unicode MS" w:cs="Times New Roman (Headings CS)"/>
                <w:i/>
                <w:iCs/>
                <w:sz w:val="22"/>
                <w:szCs w:val="22"/>
              </w:rPr>
            </w:pPr>
          </w:p>
        </w:tc>
      </w:tr>
    </w:tbl>
    <w:p w14:paraId="7959932E" w14:textId="77777777" w:rsidR="00D7341A" w:rsidRDefault="00D7341A">
      <w:r>
        <w:br w:type="page"/>
      </w:r>
    </w:p>
    <w:tbl>
      <w:tblPr>
        <w:tblStyle w:val="TableGrid"/>
        <w:tblW w:w="15306" w:type="dxa"/>
        <w:tblLook w:val="04A0" w:firstRow="1" w:lastRow="0" w:firstColumn="1" w:lastColumn="0" w:noHBand="0" w:noVBand="1"/>
      </w:tblPr>
      <w:tblGrid>
        <w:gridCol w:w="1701"/>
        <w:gridCol w:w="6802"/>
        <w:gridCol w:w="1701"/>
        <w:gridCol w:w="5102"/>
      </w:tblGrid>
      <w:tr w:rsidR="00D93EFB" w:rsidRPr="00BC4175" w14:paraId="428074B6" w14:textId="77777777" w:rsidTr="00127A61">
        <w:trPr>
          <w:cantSplit/>
          <w:trHeight w:val="454"/>
        </w:trPr>
        <w:tc>
          <w:tcPr>
            <w:tcW w:w="15306" w:type="dxa"/>
            <w:gridSpan w:val="4"/>
            <w:shd w:val="clear" w:color="auto" w:fill="2C1B57" w:themeFill="accent1" w:themeFillTint="E6"/>
          </w:tcPr>
          <w:p w14:paraId="1DD9AAF7" w14:textId="08F6A661" w:rsidR="00D93EFB" w:rsidRPr="00BC4175" w:rsidRDefault="002167E5" w:rsidP="00D93EFB">
            <w:pPr>
              <w:keepNext/>
              <w:keepLines/>
              <w:spacing w:before="0" w:after="0" w:line="400" w:lineRule="exact"/>
              <w:outlineLvl w:val="0"/>
              <w:rPr>
                <w:rFonts w:ascii="Franklin Gothic Medium" w:eastAsia="Arial Unicode MS" w:hAnsi="Franklin Gothic Medium" w:cs="Times New Roman (Headings CS)"/>
                <w:color w:val="FFFFFF" w:themeColor="background1"/>
                <w:sz w:val="28"/>
                <w:szCs w:val="30"/>
              </w:rPr>
            </w:pPr>
            <w:r>
              <w:rPr>
                <w:rFonts w:ascii="Franklin Gothic Medium" w:eastAsia="Arial Unicode MS" w:hAnsi="Franklin Gothic Medium" w:cs="Times New Roman (Headings CS)"/>
                <w:color w:val="FFFFFF" w:themeColor="background1"/>
                <w:sz w:val="28"/>
                <w:szCs w:val="30"/>
              </w:rPr>
              <w:t>Payroll</w:t>
            </w:r>
          </w:p>
        </w:tc>
      </w:tr>
      <w:tr w:rsidR="00904A30" w:rsidRPr="003A298A" w14:paraId="5ACCD169" w14:textId="77777777" w:rsidTr="00024E18">
        <w:trPr>
          <w:cantSplit/>
        </w:trPr>
        <w:tc>
          <w:tcPr>
            <w:tcW w:w="1701" w:type="dxa"/>
            <w:shd w:val="clear" w:color="000000" w:fill="FFFF99"/>
            <w:vAlign w:val="center"/>
          </w:tcPr>
          <w:p w14:paraId="645BDF9F" w14:textId="3DF803FE" w:rsidR="00904A30" w:rsidRPr="009E688A" w:rsidRDefault="00904A30" w:rsidP="00904A30">
            <w:pPr>
              <w:rPr>
                <w:rFonts w:eastAsia="Arial Unicode MS"/>
                <w:bCs/>
                <w:color w:val="3C3060"/>
                <w:sz w:val="18"/>
                <w:szCs w:val="22"/>
              </w:rPr>
            </w:pPr>
            <w:r>
              <w:rPr>
                <w:rFonts w:cs="Calibri"/>
                <w:color w:val="C4703C"/>
                <w:sz w:val="22"/>
                <w:szCs w:val="22"/>
              </w:rPr>
              <w:t>Medium Priority</w:t>
            </w:r>
          </w:p>
        </w:tc>
        <w:tc>
          <w:tcPr>
            <w:tcW w:w="6802" w:type="dxa"/>
            <w:tcBorders>
              <w:top w:val="single" w:sz="4" w:space="0" w:color="auto"/>
              <w:left w:val="single" w:sz="4" w:space="0" w:color="auto"/>
              <w:bottom w:val="single" w:sz="4" w:space="0" w:color="auto"/>
              <w:right w:val="single" w:sz="4" w:space="0" w:color="auto"/>
            </w:tcBorders>
            <w:shd w:val="clear" w:color="auto" w:fill="auto"/>
          </w:tcPr>
          <w:p w14:paraId="393E214A" w14:textId="566FE5EC" w:rsidR="00904A30" w:rsidRDefault="00904A30" w:rsidP="00904A30">
            <w:pPr>
              <w:rPr>
                <w:rFonts w:cs="Calibri"/>
                <w:color w:val="1A1A1A"/>
                <w:sz w:val="22"/>
                <w:szCs w:val="22"/>
              </w:rPr>
            </w:pPr>
            <w:r>
              <w:rPr>
                <w:rFonts w:cs="Calibri"/>
                <w:color w:val="1A1A1A"/>
                <w:sz w:val="22"/>
                <w:szCs w:val="22"/>
              </w:rPr>
              <w:t xml:space="preserve">The current pay for the Headteacher and a </w:t>
            </w:r>
            <w:r w:rsidRPr="00904A30">
              <w:rPr>
                <w:rFonts w:cs="Calibri"/>
                <w:sz w:val="22"/>
                <w:szCs w:val="22"/>
              </w:rPr>
              <w:t>teacher reviewed had not been approved in accordance with the Financial Regulations.</w:t>
            </w:r>
          </w:p>
          <w:p w14:paraId="339ECF2C" w14:textId="0B672651" w:rsidR="00904A30" w:rsidRPr="004668CD" w:rsidRDefault="00904A30" w:rsidP="00904A30">
            <w:pPr>
              <w:rPr>
                <w:sz w:val="22"/>
                <w:szCs w:val="26"/>
              </w:rPr>
            </w:pPr>
          </w:p>
        </w:tc>
        <w:tc>
          <w:tcPr>
            <w:tcW w:w="6803" w:type="dxa"/>
            <w:gridSpan w:val="2"/>
            <w:tcBorders>
              <w:top w:val="single" w:sz="4" w:space="0" w:color="auto"/>
              <w:left w:val="nil"/>
              <w:bottom w:val="single" w:sz="4" w:space="0" w:color="auto"/>
              <w:right w:val="single" w:sz="4" w:space="0" w:color="auto"/>
            </w:tcBorders>
            <w:shd w:val="clear" w:color="auto" w:fill="auto"/>
          </w:tcPr>
          <w:p w14:paraId="0FA26448" w14:textId="77777777" w:rsidR="00904A30" w:rsidRDefault="00904A30" w:rsidP="00904A30">
            <w:pPr>
              <w:rPr>
                <w:rFonts w:cs="Calibri"/>
                <w:color w:val="1A1A1A"/>
                <w:sz w:val="22"/>
                <w:szCs w:val="22"/>
              </w:rPr>
            </w:pPr>
            <w:r w:rsidRPr="004668CD">
              <w:rPr>
                <w:rFonts w:cs="Calibri"/>
                <w:color w:val="1A1A1A"/>
                <w:sz w:val="22"/>
                <w:szCs w:val="22"/>
              </w:rPr>
              <w:t>All changes to an employee’s contract pay and conditions must be approved as specified in the academy’s Financial Regulations.</w:t>
            </w:r>
          </w:p>
          <w:p w14:paraId="0AEDAB2F" w14:textId="45BF8BE0" w:rsidR="00904A30" w:rsidRPr="004668CD" w:rsidRDefault="00904A30" w:rsidP="00904A30">
            <w:pPr>
              <w:rPr>
                <w:sz w:val="22"/>
                <w:szCs w:val="26"/>
              </w:rPr>
            </w:pPr>
            <w:r>
              <w:rPr>
                <w:sz w:val="22"/>
                <w:szCs w:val="26"/>
              </w:rPr>
              <w:t>It is advised that signed salary statements are retained on personnel files as evidence that current salaries are approved in accordance with the Financial Regulations.</w:t>
            </w:r>
          </w:p>
        </w:tc>
      </w:tr>
      <w:tr w:rsidR="00904A30" w:rsidRPr="00BC4175" w14:paraId="601EAF96" w14:textId="77777777" w:rsidTr="000E417C">
        <w:trPr>
          <w:cantSplit/>
          <w:trHeight w:val="426"/>
        </w:trPr>
        <w:tc>
          <w:tcPr>
            <w:tcW w:w="1701" w:type="dxa"/>
            <w:shd w:val="clear" w:color="auto" w:fill="auto"/>
          </w:tcPr>
          <w:p w14:paraId="7E8A90D7" w14:textId="77777777" w:rsidR="00904A30" w:rsidRPr="00BC4175" w:rsidRDefault="00904A30" w:rsidP="00904A30">
            <w:pPr>
              <w:keepNext/>
              <w:keepLines/>
              <w:spacing w:before="80" w:after="80" w:line="300" w:lineRule="exact"/>
              <w:outlineLvl w:val="0"/>
              <w:rPr>
                <w:rFonts w:eastAsia="Arial Unicode MS" w:cs="Times New Roman (Headings CS)"/>
                <w:i/>
                <w:iCs/>
                <w:sz w:val="22"/>
                <w:szCs w:val="22"/>
              </w:rPr>
            </w:pPr>
            <w:r w:rsidRPr="00BC4175">
              <w:rPr>
                <w:rFonts w:eastAsia="Arial Unicode MS" w:cs="Times New Roman (Headings CS)"/>
                <w:i/>
                <w:iCs/>
                <w:sz w:val="22"/>
                <w:szCs w:val="22"/>
              </w:rPr>
              <w:t>Management Response:</w:t>
            </w:r>
          </w:p>
        </w:tc>
        <w:tc>
          <w:tcPr>
            <w:tcW w:w="6802" w:type="dxa"/>
            <w:shd w:val="clear" w:color="auto" w:fill="auto"/>
            <w:vAlign w:val="center"/>
          </w:tcPr>
          <w:p w14:paraId="24E3974C" w14:textId="77777777" w:rsidR="00904A30" w:rsidRPr="00BC4175" w:rsidRDefault="00904A30" w:rsidP="00904A30">
            <w:pPr>
              <w:keepNext/>
              <w:keepLines/>
              <w:spacing w:before="80" w:after="80" w:line="300" w:lineRule="exact"/>
              <w:outlineLvl w:val="0"/>
              <w:rPr>
                <w:rFonts w:eastAsia="Arial Unicode MS" w:cs="Times New Roman (Headings CS)"/>
                <w:i/>
                <w:iCs/>
                <w:sz w:val="22"/>
                <w:szCs w:val="22"/>
              </w:rPr>
            </w:pPr>
          </w:p>
        </w:tc>
        <w:tc>
          <w:tcPr>
            <w:tcW w:w="1701" w:type="dxa"/>
            <w:shd w:val="clear" w:color="auto" w:fill="auto"/>
          </w:tcPr>
          <w:p w14:paraId="4A2FF695" w14:textId="77777777" w:rsidR="00904A30" w:rsidRPr="00BC4175" w:rsidRDefault="00904A30" w:rsidP="00904A30">
            <w:pPr>
              <w:keepNext/>
              <w:keepLines/>
              <w:spacing w:before="80" w:after="80" w:line="300" w:lineRule="exact"/>
              <w:outlineLvl w:val="0"/>
              <w:rPr>
                <w:rFonts w:eastAsia="Arial Unicode MS" w:cs="Times New Roman (Headings CS)"/>
                <w:i/>
                <w:iCs/>
                <w:sz w:val="22"/>
                <w:szCs w:val="22"/>
              </w:rPr>
            </w:pPr>
            <w:r w:rsidRPr="00BC4175">
              <w:rPr>
                <w:rFonts w:eastAsia="Arial Unicode MS" w:cs="Times New Roman (Headings CS)"/>
                <w:i/>
                <w:iCs/>
                <w:sz w:val="22"/>
                <w:szCs w:val="22"/>
              </w:rPr>
              <w:t>Responsibility / Due Date:</w:t>
            </w:r>
          </w:p>
        </w:tc>
        <w:tc>
          <w:tcPr>
            <w:tcW w:w="5102" w:type="dxa"/>
            <w:shd w:val="clear" w:color="auto" w:fill="auto"/>
          </w:tcPr>
          <w:p w14:paraId="2D137FE8" w14:textId="77777777" w:rsidR="00904A30" w:rsidRPr="00BC4175" w:rsidRDefault="00904A30" w:rsidP="00904A30">
            <w:pPr>
              <w:keepNext/>
              <w:keepLines/>
              <w:spacing w:before="80" w:after="80" w:line="300" w:lineRule="exact"/>
              <w:outlineLvl w:val="0"/>
              <w:rPr>
                <w:rFonts w:eastAsia="Arial Unicode MS" w:cs="Times New Roman (Headings CS)"/>
                <w:i/>
                <w:iCs/>
                <w:sz w:val="22"/>
                <w:szCs w:val="22"/>
              </w:rPr>
            </w:pPr>
          </w:p>
        </w:tc>
      </w:tr>
      <w:tr w:rsidR="00904A30" w:rsidRPr="00BC4175" w14:paraId="70D58BE8" w14:textId="77777777" w:rsidTr="00472429">
        <w:trPr>
          <w:cantSplit/>
          <w:trHeight w:val="454"/>
        </w:trPr>
        <w:tc>
          <w:tcPr>
            <w:tcW w:w="15306" w:type="dxa"/>
            <w:gridSpan w:val="4"/>
            <w:shd w:val="clear" w:color="auto" w:fill="2C1B57" w:themeFill="accent1" w:themeFillTint="E6"/>
          </w:tcPr>
          <w:p w14:paraId="0F74044C" w14:textId="76BB0187" w:rsidR="00904A30" w:rsidRPr="00BC4175" w:rsidRDefault="00904A30" w:rsidP="00904A30">
            <w:pPr>
              <w:keepNext/>
              <w:keepLines/>
              <w:spacing w:before="0" w:after="0" w:line="400" w:lineRule="exact"/>
              <w:outlineLvl w:val="0"/>
              <w:rPr>
                <w:rFonts w:ascii="Franklin Gothic Medium" w:eastAsia="Arial Unicode MS" w:hAnsi="Franklin Gothic Medium" w:cs="Times New Roman (Headings CS)"/>
                <w:color w:val="FFFFFF" w:themeColor="background1"/>
                <w:sz w:val="28"/>
                <w:szCs w:val="30"/>
              </w:rPr>
            </w:pPr>
            <w:r>
              <w:rPr>
                <w:rFonts w:ascii="Franklin Gothic Medium" w:eastAsia="Arial Unicode MS" w:hAnsi="Franklin Gothic Medium" w:cs="Times New Roman (Headings CS)"/>
                <w:color w:val="FFFFFF" w:themeColor="background1"/>
                <w:sz w:val="28"/>
                <w:szCs w:val="30"/>
              </w:rPr>
              <w:t>Governance Framework 2</w:t>
            </w:r>
          </w:p>
        </w:tc>
      </w:tr>
      <w:tr w:rsidR="00904A30" w:rsidRPr="003A298A" w14:paraId="48BC4593" w14:textId="77777777" w:rsidTr="00024B6B">
        <w:trPr>
          <w:cantSplit/>
        </w:trPr>
        <w:tc>
          <w:tcPr>
            <w:tcW w:w="1701" w:type="dxa"/>
            <w:shd w:val="clear" w:color="000000" w:fill="CDEDD3"/>
            <w:vAlign w:val="center"/>
          </w:tcPr>
          <w:p w14:paraId="15E15859" w14:textId="77777777" w:rsidR="00904A30" w:rsidRPr="009E688A" w:rsidRDefault="00904A30" w:rsidP="00904A30">
            <w:pPr>
              <w:rPr>
                <w:rFonts w:eastAsia="Arial Unicode MS"/>
                <w:bCs/>
                <w:color w:val="3C3060"/>
                <w:sz w:val="18"/>
                <w:szCs w:val="22"/>
              </w:rPr>
            </w:pPr>
            <w:r>
              <w:rPr>
                <w:rFonts w:cs="Calibri"/>
                <w:color w:val="215F2E"/>
                <w:sz w:val="22"/>
                <w:szCs w:val="22"/>
              </w:rPr>
              <w:t>Low Priority</w:t>
            </w:r>
          </w:p>
        </w:tc>
        <w:tc>
          <w:tcPr>
            <w:tcW w:w="6802" w:type="dxa"/>
            <w:tcBorders>
              <w:top w:val="single" w:sz="4" w:space="0" w:color="auto"/>
              <w:left w:val="single" w:sz="4" w:space="0" w:color="auto"/>
              <w:bottom w:val="single" w:sz="4" w:space="0" w:color="auto"/>
              <w:right w:val="single" w:sz="4" w:space="0" w:color="auto"/>
            </w:tcBorders>
            <w:shd w:val="clear" w:color="auto" w:fill="auto"/>
          </w:tcPr>
          <w:p w14:paraId="0107046F" w14:textId="3F0C2574" w:rsidR="00904A30" w:rsidRPr="00024B6B" w:rsidRDefault="00904A30" w:rsidP="00904A30">
            <w:pPr>
              <w:rPr>
                <w:sz w:val="22"/>
                <w:szCs w:val="26"/>
              </w:rPr>
            </w:pPr>
            <w:r w:rsidRPr="00024B6B">
              <w:rPr>
                <w:rFonts w:cs="Calibri"/>
                <w:color w:val="1A1A1A"/>
                <w:sz w:val="22"/>
                <w:szCs w:val="22"/>
              </w:rPr>
              <w:t>T</w:t>
            </w:r>
            <w:r>
              <w:rPr>
                <w:rFonts w:cs="Calibri"/>
                <w:color w:val="1A1A1A"/>
                <w:sz w:val="22"/>
                <w:szCs w:val="22"/>
              </w:rPr>
              <w:t xml:space="preserve">rustees have not yet considered the results of the </w:t>
            </w:r>
            <w:r w:rsidRPr="00024B6B">
              <w:rPr>
                <w:rFonts w:cs="Calibri"/>
                <w:color w:val="1A1A1A"/>
                <w:sz w:val="22"/>
                <w:szCs w:val="22"/>
              </w:rPr>
              <w:t xml:space="preserve">Schools Resource Management Self-Assessment checklist (SRMSAC) </w:t>
            </w:r>
            <w:r>
              <w:rPr>
                <w:rFonts w:cs="Calibri"/>
                <w:color w:val="1A1A1A"/>
                <w:sz w:val="22"/>
                <w:szCs w:val="22"/>
              </w:rPr>
              <w:t xml:space="preserve">which was submitted to the ESFA in March </w:t>
            </w:r>
            <w:r w:rsidRPr="00904A30">
              <w:rPr>
                <w:rFonts w:cs="Calibri"/>
                <w:sz w:val="22"/>
                <w:szCs w:val="22"/>
              </w:rPr>
              <w:t>20</w:t>
            </w:r>
            <w:r>
              <w:rPr>
                <w:rFonts w:cs="Calibri"/>
                <w:color w:val="1A1A1A"/>
                <w:sz w:val="22"/>
                <w:szCs w:val="22"/>
              </w:rPr>
              <w:t>23.</w:t>
            </w:r>
          </w:p>
        </w:tc>
        <w:tc>
          <w:tcPr>
            <w:tcW w:w="6803" w:type="dxa"/>
            <w:gridSpan w:val="2"/>
            <w:tcBorders>
              <w:top w:val="single" w:sz="4" w:space="0" w:color="auto"/>
              <w:left w:val="nil"/>
              <w:bottom w:val="single" w:sz="4" w:space="0" w:color="auto"/>
              <w:right w:val="single" w:sz="4" w:space="0" w:color="auto"/>
            </w:tcBorders>
            <w:shd w:val="clear" w:color="auto" w:fill="auto"/>
          </w:tcPr>
          <w:p w14:paraId="0541CF59" w14:textId="305E037B" w:rsidR="00904A30" w:rsidRPr="00024B6B" w:rsidRDefault="00904A30" w:rsidP="00904A30">
            <w:pPr>
              <w:rPr>
                <w:sz w:val="22"/>
                <w:szCs w:val="26"/>
              </w:rPr>
            </w:pPr>
            <w:r w:rsidRPr="00024B6B">
              <w:rPr>
                <w:rFonts w:cs="Calibri"/>
                <w:sz w:val="22"/>
                <w:szCs w:val="22"/>
              </w:rPr>
              <w:t xml:space="preserve">The School Resource Management Self-Assessment Checklist helps academy trusts check they are managing resources effectively and identify any adjustments they need to make. </w:t>
            </w:r>
            <w:r w:rsidRPr="00024B6B">
              <w:rPr>
                <w:rFonts w:cs="Calibri"/>
                <w:color w:val="0070C0"/>
                <w:sz w:val="22"/>
                <w:szCs w:val="22"/>
              </w:rPr>
              <w:t xml:space="preserve"> </w:t>
            </w:r>
            <w:r w:rsidRPr="00024B6B">
              <w:rPr>
                <w:rFonts w:cs="Calibri"/>
                <w:color w:val="0070C0"/>
                <w:sz w:val="22"/>
                <w:szCs w:val="22"/>
              </w:rPr>
              <w:br/>
            </w:r>
            <w:r w:rsidRPr="00024B6B">
              <w:rPr>
                <w:rFonts w:cs="Calibri"/>
                <w:color w:val="0070C0"/>
                <w:sz w:val="22"/>
                <w:szCs w:val="22"/>
              </w:rPr>
              <w:br/>
            </w:r>
            <w:r w:rsidRPr="00024B6B">
              <w:rPr>
                <w:rFonts w:cs="Calibri"/>
                <w:sz w:val="22"/>
                <w:szCs w:val="22"/>
              </w:rPr>
              <w:t>The checklist helps governing bodies and trust boards to:</w:t>
            </w:r>
            <w:r w:rsidRPr="00024B6B">
              <w:rPr>
                <w:rFonts w:cs="Calibri"/>
                <w:sz w:val="22"/>
                <w:szCs w:val="22"/>
              </w:rPr>
              <w:br/>
              <w:t>-  check they have appropriate financial management and governance arrangements</w:t>
            </w:r>
            <w:r w:rsidRPr="00024B6B">
              <w:rPr>
                <w:rFonts w:cs="Calibri"/>
                <w:sz w:val="22"/>
                <w:szCs w:val="22"/>
              </w:rPr>
              <w:br/>
              <w:t>-  check they are meeting the right standards to achieve a good level of financial health and resource management</w:t>
            </w:r>
            <w:r w:rsidRPr="00024B6B">
              <w:rPr>
                <w:rFonts w:cs="Calibri"/>
                <w:sz w:val="22"/>
                <w:szCs w:val="22"/>
              </w:rPr>
              <w:br/>
              <w:t>-  identify areas for change to make sure resources are used to support high-quality teaching and the best education outcomes for pupils</w:t>
            </w:r>
            <w:r w:rsidRPr="00024B6B">
              <w:rPr>
                <w:rFonts w:cs="Calibri"/>
                <w:sz w:val="22"/>
                <w:szCs w:val="22"/>
              </w:rPr>
              <w:br/>
            </w:r>
            <w:r w:rsidRPr="00764D27">
              <w:rPr>
                <w:rFonts w:cs="Calibri"/>
                <w:sz w:val="22"/>
                <w:szCs w:val="22"/>
              </w:rPr>
              <w:br/>
            </w:r>
            <w:r w:rsidRPr="00764D27">
              <w:rPr>
                <w:rFonts w:cs="Calibri"/>
                <w:i/>
                <w:iCs/>
                <w:sz w:val="22"/>
                <w:szCs w:val="22"/>
              </w:rPr>
              <w:t>Trustees  should carefully consider the SRMSAT dashboard results and identify potential follow-up actions.</w:t>
            </w:r>
          </w:p>
        </w:tc>
      </w:tr>
      <w:tr w:rsidR="00904A30" w:rsidRPr="00BC4175" w14:paraId="3CC5C770" w14:textId="77777777" w:rsidTr="00472429">
        <w:trPr>
          <w:cantSplit/>
          <w:trHeight w:val="426"/>
        </w:trPr>
        <w:tc>
          <w:tcPr>
            <w:tcW w:w="1701" w:type="dxa"/>
            <w:shd w:val="clear" w:color="auto" w:fill="auto"/>
          </w:tcPr>
          <w:p w14:paraId="79C5FF3C" w14:textId="77777777" w:rsidR="00904A30" w:rsidRPr="00BC4175" w:rsidRDefault="00904A30" w:rsidP="00904A30">
            <w:pPr>
              <w:keepNext/>
              <w:keepLines/>
              <w:spacing w:before="80" w:after="80" w:line="300" w:lineRule="exact"/>
              <w:outlineLvl w:val="0"/>
              <w:rPr>
                <w:rFonts w:eastAsia="Arial Unicode MS" w:cs="Times New Roman (Headings CS)"/>
                <w:i/>
                <w:iCs/>
                <w:sz w:val="22"/>
                <w:szCs w:val="22"/>
              </w:rPr>
            </w:pPr>
            <w:r w:rsidRPr="00BC4175">
              <w:rPr>
                <w:rFonts w:eastAsia="Arial Unicode MS" w:cs="Times New Roman (Headings CS)"/>
                <w:i/>
                <w:iCs/>
                <w:sz w:val="22"/>
                <w:szCs w:val="22"/>
              </w:rPr>
              <w:t>Management Response:</w:t>
            </w:r>
          </w:p>
        </w:tc>
        <w:tc>
          <w:tcPr>
            <w:tcW w:w="6802" w:type="dxa"/>
            <w:shd w:val="clear" w:color="auto" w:fill="auto"/>
            <w:vAlign w:val="center"/>
          </w:tcPr>
          <w:p w14:paraId="3BDD91CA" w14:textId="77777777" w:rsidR="00904A30" w:rsidRPr="00BC4175" w:rsidRDefault="00904A30" w:rsidP="00904A30">
            <w:pPr>
              <w:keepNext/>
              <w:keepLines/>
              <w:spacing w:before="80" w:after="80" w:line="300" w:lineRule="exact"/>
              <w:outlineLvl w:val="0"/>
              <w:rPr>
                <w:rFonts w:eastAsia="Arial Unicode MS" w:cs="Times New Roman (Headings CS)"/>
                <w:i/>
                <w:iCs/>
                <w:sz w:val="22"/>
                <w:szCs w:val="22"/>
              </w:rPr>
            </w:pPr>
          </w:p>
        </w:tc>
        <w:tc>
          <w:tcPr>
            <w:tcW w:w="1701" w:type="dxa"/>
            <w:shd w:val="clear" w:color="auto" w:fill="auto"/>
          </w:tcPr>
          <w:p w14:paraId="3E2EC8ED" w14:textId="77777777" w:rsidR="00904A30" w:rsidRPr="00BC4175" w:rsidRDefault="00904A30" w:rsidP="00904A30">
            <w:pPr>
              <w:keepNext/>
              <w:keepLines/>
              <w:spacing w:before="80" w:after="80" w:line="300" w:lineRule="exact"/>
              <w:outlineLvl w:val="0"/>
              <w:rPr>
                <w:rFonts w:eastAsia="Arial Unicode MS" w:cs="Times New Roman (Headings CS)"/>
                <w:i/>
                <w:iCs/>
                <w:sz w:val="22"/>
                <w:szCs w:val="22"/>
              </w:rPr>
            </w:pPr>
            <w:r w:rsidRPr="00BC4175">
              <w:rPr>
                <w:rFonts w:eastAsia="Arial Unicode MS" w:cs="Times New Roman (Headings CS)"/>
                <w:i/>
                <w:iCs/>
                <w:sz w:val="22"/>
                <w:szCs w:val="22"/>
              </w:rPr>
              <w:t>Responsibility / Due Date:</w:t>
            </w:r>
          </w:p>
        </w:tc>
        <w:tc>
          <w:tcPr>
            <w:tcW w:w="5102" w:type="dxa"/>
            <w:shd w:val="clear" w:color="auto" w:fill="auto"/>
          </w:tcPr>
          <w:p w14:paraId="23DEFE12" w14:textId="77777777" w:rsidR="00904A30" w:rsidRPr="00BC4175" w:rsidRDefault="00904A30" w:rsidP="00904A30">
            <w:pPr>
              <w:keepNext/>
              <w:keepLines/>
              <w:spacing w:before="80" w:after="80" w:line="300" w:lineRule="exact"/>
              <w:outlineLvl w:val="0"/>
              <w:rPr>
                <w:rFonts w:eastAsia="Arial Unicode MS" w:cs="Times New Roman (Headings CS)"/>
                <w:i/>
                <w:iCs/>
                <w:sz w:val="22"/>
                <w:szCs w:val="22"/>
              </w:rPr>
            </w:pPr>
          </w:p>
        </w:tc>
      </w:tr>
    </w:tbl>
    <w:p w14:paraId="0B5CC3A5" w14:textId="77777777" w:rsidR="00BC4175" w:rsidRDefault="00BC4175" w:rsidP="00BC4175"/>
    <w:p w14:paraId="5EDB5823" w14:textId="77777777" w:rsidR="00670969" w:rsidRDefault="00670969" w:rsidP="00670969">
      <w:pPr>
        <w:keepNext/>
        <w:keepLines/>
        <w:spacing w:before="240" w:line="400" w:lineRule="exact"/>
        <w:outlineLvl w:val="0"/>
        <w:rPr>
          <w:rFonts w:ascii="Franklin Gothic Medium" w:eastAsia="Times New Roman" w:hAnsi="Franklin Gothic Medium" w:cs="Times New Roman (Headings CS)"/>
          <w:color w:val="1C1238"/>
          <w:sz w:val="32"/>
          <w:szCs w:val="32"/>
        </w:rPr>
      </w:pPr>
      <w:r>
        <w:rPr>
          <w:rFonts w:ascii="Franklin Gothic Medium" w:eastAsia="Times New Roman" w:hAnsi="Franklin Gothic Medium" w:cs="Times New Roman (Headings CS)"/>
          <w:color w:val="1C1238"/>
          <w:sz w:val="32"/>
          <w:szCs w:val="32"/>
        </w:rPr>
        <w:t>Notes / Areas for Consideration</w:t>
      </w:r>
    </w:p>
    <w:tbl>
      <w:tblPr>
        <w:tblW w:w="15304" w:type="dxa"/>
        <w:tblCellMar>
          <w:left w:w="10" w:type="dxa"/>
          <w:right w:w="10" w:type="dxa"/>
        </w:tblCellMar>
        <w:tblLook w:val="04A0" w:firstRow="1" w:lastRow="0" w:firstColumn="1" w:lastColumn="0" w:noHBand="0" w:noVBand="1"/>
      </w:tblPr>
      <w:tblGrid>
        <w:gridCol w:w="1701"/>
        <w:gridCol w:w="13603"/>
      </w:tblGrid>
      <w:tr w:rsidR="00670969" w14:paraId="35044BC6" w14:textId="77777777" w:rsidTr="00472429">
        <w:trPr>
          <w:cantSplit/>
          <w:trHeight w:val="454"/>
        </w:trPr>
        <w:tc>
          <w:tcPr>
            <w:tcW w:w="15304" w:type="dxa"/>
            <w:gridSpan w:val="2"/>
            <w:tcBorders>
              <w:top w:val="single" w:sz="4" w:space="0" w:color="000000"/>
              <w:left w:val="single" w:sz="4" w:space="0" w:color="000000"/>
              <w:bottom w:val="single" w:sz="4" w:space="0" w:color="000000"/>
              <w:right w:val="single" w:sz="4" w:space="0" w:color="000000"/>
            </w:tcBorders>
            <w:shd w:val="clear" w:color="auto" w:fill="2C1B57"/>
            <w:tcMar>
              <w:top w:w="0" w:type="dxa"/>
              <w:left w:w="108" w:type="dxa"/>
              <w:bottom w:w="0" w:type="dxa"/>
              <w:right w:w="108" w:type="dxa"/>
            </w:tcMar>
          </w:tcPr>
          <w:p w14:paraId="1FD121A4" w14:textId="3C3CB88B" w:rsidR="00670969" w:rsidRDefault="00670969" w:rsidP="00472429">
            <w:pPr>
              <w:keepNext/>
              <w:keepLines/>
              <w:spacing w:before="0" w:after="0" w:line="400" w:lineRule="exact"/>
              <w:outlineLvl w:val="0"/>
              <w:rPr>
                <w:rFonts w:ascii="Franklin Gothic Medium" w:eastAsia="Arial Unicode MS" w:hAnsi="Franklin Gothic Medium" w:cs="Times New Roman (Headings CS)"/>
                <w:color w:val="FFFFFF"/>
                <w:sz w:val="28"/>
                <w:szCs w:val="30"/>
              </w:rPr>
            </w:pPr>
            <w:r>
              <w:rPr>
                <w:rFonts w:ascii="Franklin Gothic Medium" w:eastAsia="Arial Unicode MS" w:hAnsi="Franklin Gothic Medium" w:cs="Times New Roman (Headings CS)"/>
                <w:color w:val="FFFFFF"/>
                <w:sz w:val="28"/>
                <w:szCs w:val="30"/>
              </w:rPr>
              <w:t xml:space="preserve">Procurement </w:t>
            </w:r>
          </w:p>
        </w:tc>
      </w:tr>
      <w:tr w:rsidR="00670969" w14:paraId="23A832A3" w14:textId="77777777" w:rsidTr="00472429">
        <w:trPr>
          <w:cantSplit/>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BB171" w14:textId="4CE14F77" w:rsidR="00670969" w:rsidRDefault="00670969" w:rsidP="00472429">
            <w:pPr>
              <w:spacing w:line="276" w:lineRule="auto"/>
            </w:pPr>
            <w:r>
              <w:rPr>
                <w:sz w:val="22"/>
                <w:szCs w:val="26"/>
              </w:rPr>
              <w:t>Purchase cards</w:t>
            </w:r>
          </w:p>
        </w:tc>
        <w:tc>
          <w:tcPr>
            <w:tcW w:w="13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BC4C2" w14:textId="1988AD41" w:rsidR="00670969" w:rsidRDefault="004F325D" w:rsidP="00472429">
            <w:pPr>
              <w:spacing w:line="240" w:lineRule="auto"/>
              <w:rPr>
                <w:rFonts w:cs="Calibri"/>
                <w:sz w:val="22"/>
                <w:szCs w:val="22"/>
              </w:rPr>
            </w:pPr>
            <w:r w:rsidRPr="004F325D">
              <w:rPr>
                <w:rFonts w:cs="Calibri"/>
                <w:sz w:val="22"/>
                <w:szCs w:val="22"/>
              </w:rPr>
              <w:t xml:space="preserve">The academy has </w:t>
            </w:r>
            <w:r>
              <w:rPr>
                <w:rFonts w:cs="Calibri"/>
                <w:sz w:val="22"/>
                <w:szCs w:val="22"/>
              </w:rPr>
              <w:t>a</w:t>
            </w:r>
            <w:r w:rsidRPr="004F325D">
              <w:rPr>
                <w:rFonts w:cs="Calibri"/>
                <w:sz w:val="22"/>
                <w:szCs w:val="22"/>
              </w:rPr>
              <w:t xml:space="preserve"> purchase card</w:t>
            </w:r>
            <w:r>
              <w:rPr>
                <w:rFonts w:cs="Calibri"/>
                <w:sz w:val="22"/>
                <w:szCs w:val="22"/>
              </w:rPr>
              <w:t xml:space="preserve"> </w:t>
            </w:r>
            <w:r w:rsidRPr="004F325D">
              <w:rPr>
                <w:rFonts w:cs="Calibri"/>
                <w:sz w:val="22"/>
                <w:szCs w:val="22"/>
              </w:rPr>
              <w:t>in the name of</w:t>
            </w:r>
            <w:r>
              <w:rPr>
                <w:rFonts w:cs="Calibri"/>
                <w:sz w:val="22"/>
                <w:szCs w:val="22"/>
              </w:rPr>
              <w:t xml:space="preserve"> the previous Finance Manager</w:t>
            </w:r>
            <w:r w:rsidR="006F5836">
              <w:rPr>
                <w:rFonts w:cs="Calibri"/>
                <w:sz w:val="22"/>
                <w:szCs w:val="22"/>
              </w:rPr>
              <w:t xml:space="preserve"> who is no longer employed by the academy.  </w:t>
            </w:r>
            <w:r w:rsidR="00C06B32">
              <w:rPr>
                <w:rFonts w:cs="Calibri"/>
                <w:sz w:val="22"/>
                <w:szCs w:val="22"/>
              </w:rPr>
              <w:t>T</w:t>
            </w:r>
            <w:r w:rsidR="00774429">
              <w:rPr>
                <w:rFonts w:cs="Calibri"/>
                <w:sz w:val="22"/>
                <w:szCs w:val="22"/>
              </w:rPr>
              <w:t xml:space="preserve">he purchase card should be </w:t>
            </w:r>
            <w:r w:rsidR="00774429" w:rsidRPr="005C6501">
              <w:rPr>
                <w:rFonts w:cs="Calibri"/>
                <w:sz w:val="22"/>
                <w:szCs w:val="22"/>
              </w:rPr>
              <w:t xml:space="preserve">cancelled </w:t>
            </w:r>
            <w:r w:rsidR="00C06B32" w:rsidRPr="005C6501">
              <w:rPr>
                <w:rFonts w:cs="Calibri"/>
                <w:sz w:val="22"/>
                <w:szCs w:val="22"/>
              </w:rPr>
              <w:t xml:space="preserve">as soon as possible </w:t>
            </w:r>
            <w:r w:rsidR="00774429" w:rsidRPr="005C6501">
              <w:rPr>
                <w:rFonts w:cs="Calibri"/>
                <w:sz w:val="22"/>
                <w:szCs w:val="22"/>
              </w:rPr>
              <w:t>as cards must be in the names of current academy employees</w:t>
            </w:r>
            <w:r w:rsidR="00B36BC1" w:rsidRPr="005C6501">
              <w:rPr>
                <w:rFonts w:cs="Calibri"/>
                <w:sz w:val="22"/>
                <w:szCs w:val="22"/>
              </w:rPr>
              <w:t xml:space="preserve"> only</w:t>
            </w:r>
            <w:r w:rsidR="00774429" w:rsidRPr="005C6501">
              <w:rPr>
                <w:rFonts w:cs="Calibri"/>
                <w:sz w:val="22"/>
                <w:szCs w:val="22"/>
              </w:rPr>
              <w:t>.</w:t>
            </w:r>
          </w:p>
        </w:tc>
      </w:tr>
    </w:tbl>
    <w:p w14:paraId="3875FAA5" w14:textId="77777777" w:rsidR="00D50B64" w:rsidRPr="00B87A87" w:rsidRDefault="001344F5" w:rsidP="00B87A87">
      <w:pPr>
        <w:suppressAutoHyphens w:val="0"/>
        <w:spacing w:before="0" w:after="0" w:line="240" w:lineRule="auto"/>
        <w:rPr>
          <w:rFonts w:ascii="Franklin Gothic Medium" w:eastAsia="Arial Unicode MS" w:hAnsi="Franklin Gothic Medium" w:cs="Times New Roman (Headings CS)"/>
          <w:caps/>
          <w:color w:val="1C1238"/>
          <w:sz w:val="40"/>
          <w:szCs w:val="32"/>
        </w:rPr>
      </w:pPr>
      <w:r w:rsidRPr="001344F5">
        <w:rPr>
          <w:rFonts w:eastAsia="Arial Unicode MS"/>
        </w:rPr>
        <w:br w:type="page"/>
      </w:r>
    </w:p>
    <w:p w14:paraId="211D511A" w14:textId="77777777" w:rsidR="00D50B64" w:rsidRDefault="00D50B64" w:rsidP="00143CE0">
      <w:pPr>
        <w:pStyle w:val="Sub-heading"/>
      </w:pPr>
      <w:r>
        <w:t>K</w:t>
      </w:r>
      <w:r w:rsidR="00272763">
        <w:t>ey Contacts</w:t>
      </w:r>
    </w:p>
    <w:tbl>
      <w:tblPr>
        <w:tblW w:w="13520" w:type="dxa"/>
        <w:jc w:val="center"/>
        <w:tblLayout w:type="fixed"/>
        <w:tblCellMar>
          <w:left w:w="10" w:type="dxa"/>
          <w:right w:w="10" w:type="dxa"/>
        </w:tblCellMar>
        <w:tblLook w:val="0000" w:firstRow="0" w:lastRow="0" w:firstColumn="0" w:lastColumn="0" w:noHBand="0" w:noVBand="0"/>
      </w:tblPr>
      <w:tblGrid>
        <w:gridCol w:w="4817"/>
        <w:gridCol w:w="8703"/>
      </w:tblGrid>
      <w:tr w:rsidR="00A12104" w14:paraId="2F53C920" w14:textId="77777777" w:rsidTr="00855FE3">
        <w:trPr>
          <w:trHeight w:val="555"/>
          <w:jc w:val="center"/>
        </w:trPr>
        <w:tc>
          <w:tcPr>
            <w:tcW w:w="48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246D8BC" w14:textId="77777777" w:rsidR="00A12104" w:rsidRDefault="00A12104" w:rsidP="00855FE3">
            <w:pPr>
              <w:rPr>
                <w:rFonts w:ascii="Franklin Gothic Medium" w:hAnsi="Franklin Gothic Medium"/>
                <w:sz w:val="22"/>
                <w:szCs w:val="26"/>
              </w:rPr>
            </w:pPr>
            <w:r>
              <w:rPr>
                <w:rFonts w:ascii="Franklin Gothic Medium" w:hAnsi="Franklin Gothic Medium"/>
                <w:sz w:val="22"/>
                <w:szCs w:val="26"/>
              </w:rPr>
              <w:t>Juniper Education Review Consultant</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F5809C" w14:textId="743B4BE1" w:rsidR="00A12104" w:rsidRDefault="00A12104" w:rsidP="00855FE3">
            <w:pPr>
              <w:spacing w:after="200" w:line="276" w:lineRule="auto"/>
              <w:rPr>
                <w:rFonts w:eastAsia="Arial Unicode MS" w:cs="Arial"/>
                <w:sz w:val="22"/>
                <w:szCs w:val="22"/>
              </w:rPr>
            </w:pPr>
            <w:r>
              <w:rPr>
                <w:rFonts w:eastAsia="Arial Unicode MS" w:cs="Arial"/>
                <w:sz w:val="22"/>
                <w:szCs w:val="22"/>
              </w:rPr>
              <w:t>S Smith</w:t>
            </w:r>
          </w:p>
        </w:tc>
      </w:tr>
      <w:tr w:rsidR="00A12104" w14:paraId="0DA04FB4" w14:textId="77777777" w:rsidTr="00855FE3">
        <w:trPr>
          <w:trHeight w:val="555"/>
          <w:jc w:val="center"/>
        </w:trPr>
        <w:tc>
          <w:tcPr>
            <w:tcW w:w="48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C578C0B" w14:textId="77777777" w:rsidR="00A12104" w:rsidRDefault="00A12104" w:rsidP="00855FE3">
            <w:pPr>
              <w:rPr>
                <w:rFonts w:ascii="Franklin Gothic Medium" w:hAnsi="Franklin Gothic Medium"/>
                <w:sz w:val="22"/>
                <w:szCs w:val="26"/>
              </w:rPr>
            </w:pPr>
            <w:r>
              <w:rPr>
                <w:rFonts w:ascii="Franklin Gothic Medium" w:hAnsi="Franklin Gothic Medium"/>
                <w:sz w:val="22"/>
                <w:szCs w:val="26"/>
              </w:rPr>
              <w:t>Juniper Review Programme Manager</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A45D6A" w14:textId="6FC8BB76" w:rsidR="00A12104" w:rsidRDefault="00A12104" w:rsidP="00855FE3">
            <w:pPr>
              <w:spacing w:after="200" w:line="276" w:lineRule="auto"/>
              <w:rPr>
                <w:rFonts w:eastAsia="Arial Unicode MS" w:cs="Arial"/>
                <w:sz w:val="22"/>
                <w:szCs w:val="22"/>
              </w:rPr>
            </w:pPr>
            <w:r>
              <w:rPr>
                <w:rFonts w:eastAsia="Arial Unicode MS" w:cs="Arial"/>
                <w:sz w:val="22"/>
                <w:szCs w:val="22"/>
              </w:rPr>
              <w:t>J Ward FCCA</w:t>
            </w:r>
          </w:p>
        </w:tc>
      </w:tr>
      <w:tr w:rsidR="00A12104" w14:paraId="5D680D28" w14:textId="77777777" w:rsidTr="00855FE3">
        <w:trPr>
          <w:trHeight w:val="555"/>
          <w:jc w:val="center"/>
        </w:trPr>
        <w:tc>
          <w:tcPr>
            <w:tcW w:w="48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A1E559A" w14:textId="77777777" w:rsidR="00A12104" w:rsidRDefault="00A12104" w:rsidP="00855FE3">
            <w:pPr>
              <w:rPr>
                <w:rFonts w:ascii="Franklin Gothic Medium" w:hAnsi="Franklin Gothic Medium"/>
                <w:sz w:val="22"/>
                <w:szCs w:val="26"/>
              </w:rPr>
            </w:pPr>
            <w:r>
              <w:rPr>
                <w:rFonts w:ascii="Franklin Gothic Medium" w:hAnsi="Franklin Gothic Medium"/>
                <w:sz w:val="22"/>
                <w:szCs w:val="26"/>
              </w:rPr>
              <w:t>Information Provided by</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C6CB09" w14:textId="5595D454" w:rsidR="00A12104" w:rsidRDefault="00ED7689" w:rsidP="00855FE3">
            <w:pPr>
              <w:spacing w:after="200" w:line="276" w:lineRule="auto"/>
              <w:rPr>
                <w:rFonts w:eastAsia="Arial Unicode MS" w:cs="Arial"/>
                <w:sz w:val="22"/>
                <w:szCs w:val="22"/>
              </w:rPr>
            </w:pPr>
            <w:r>
              <w:rPr>
                <w:rFonts w:eastAsia="Arial Unicode MS" w:cs="Arial"/>
                <w:sz w:val="22"/>
                <w:szCs w:val="22"/>
              </w:rPr>
              <w:t>Chief Finance &amp; Operations Officer &amp; Finance Manager (S Hatton)</w:t>
            </w:r>
          </w:p>
        </w:tc>
      </w:tr>
      <w:tr w:rsidR="00A12104" w14:paraId="620BEF7E" w14:textId="77777777" w:rsidTr="00855FE3">
        <w:trPr>
          <w:trHeight w:val="555"/>
          <w:jc w:val="center"/>
        </w:trPr>
        <w:tc>
          <w:tcPr>
            <w:tcW w:w="48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BCD9F27" w14:textId="77777777" w:rsidR="00A12104" w:rsidRDefault="00A12104" w:rsidP="00855FE3">
            <w:pPr>
              <w:rPr>
                <w:rFonts w:ascii="Franklin Gothic Medium" w:hAnsi="Franklin Gothic Medium"/>
                <w:sz w:val="22"/>
                <w:szCs w:val="26"/>
              </w:rPr>
            </w:pPr>
            <w:r>
              <w:rPr>
                <w:rFonts w:ascii="Franklin Gothic Medium" w:hAnsi="Franklin Gothic Medium"/>
                <w:sz w:val="22"/>
                <w:szCs w:val="26"/>
              </w:rPr>
              <w:t>Exit meeting attended by</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5FA364" w14:textId="07363780" w:rsidR="00A12104" w:rsidRDefault="00ED7689" w:rsidP="00855FE3">
            <w:pPr>
              <w:spacing w:after="200" w:line="276" w:lineRule="auto"/>
              <w:rPr>
                <w:rFonts w:eastAsia="Arial Unicode MS" w:cs="Arial"/>
                <w:sz w:val="22"/>
                <w:szCs w:val="22"/>
              </w:rPr>
            </w:pPr>
            <w:r>
              <w:rPr>
                <w:rFonts w:eastAsia="Arial Unicode MS" w:cs="Arial"/>
                <w:sz w:val="22"/>
                <w:szCs w:val="22"/>
              </w:rPr>
              <w:t>Chief Finance &amp; Operations Officer</w:t>
            </w:r>
            <w:r w:rsidR="00A12104">
              <w:rPr>
                <w:rFonts w:eastAsia="Arial Unicode MS" w:cs="Arial"/>
                <w:sz w:val="22"/>
                <w:szCs w:val="22"/>
              </w:rPr>
              <w:t xml:space="preserve"> &amp; Finance Manager</w:t>
            </w:r>
            <w:r>
              <w:rPr>
                <w:rFonts w:eastAsia="Arial Unicode MS" w:cs="Arial"/>
                <w:sz w:val="22"/>
                <w:szCs w:val="22"/>
              </w:rPr>
              <w:t xml:space="preserve"> (S Hatton)</w:t>
            </w:r>
          </w:p>
        </w:tc>
      </w:tr>
      <w:tr w:rsidR="00A12104" w14:paraId="6F180538" w14:textId="77777777" w:rsidTr="00855FE3">
        <w:trPr>
          <w:trHeight w:val="555"/>
          <w:jc w:val="center"/>
        </w:trPr>
        <w:tc>
          <w:tcPr>
            <w:tcW w:w="48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EEFAF81" w14:textId="77777777" w:rsidR="00A12104" w:rsidRDefault="00A12104" w:rsidP="00855FE3">
            <w:pPr>
              <w:rPr>
                <w:rFonts w:ascii="Franklin Gothic Medium" w:hAnsi="Franklin Gothic Medium"/>
                <w:sz w:val="22"/>
                <w:szCs w:val="26"/>
              </w:rPr>
            </w:pPr>
            <w:r>
              <w:rPr>
                <w:rFonts w:ascii="Franklin Gothic Medium" w:hAnsi="Franklin Gothic Medium"/>
                <w:sz w:val="22"/>
                <w:szCs w:val="26"/>
              </w:rPr>
              <w:t>Chair of the Board of Trustees</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2CD5EF" w14:textId="77777777" w:rsidR="00A12104" w:rsidRDefault="00A12104" w:rsidP="00855FE3">
            <w:pPr>
              <w:spacing w:after="200" w:line="276" w:lineRule="auto"/>
              <w:rPr>
                <w:rFonts w:eastAsia="Arial Unicode MS" w:cs="Arial"/>
                <w:sz w:val="22"/>
                <w:szCs w:val="22"/>
              </w:rPr>
            </w:pPr>
            <w:r>
              <w:rPr>
                <w:rFonts w:eastAsia="Arial Unicode MS" w:cs="Arial"/>
                <w:sz w:val="22"/>
                <w:szCs w:val="22"/>
              </w:rPr>
              <w:t>J Swettenham</w:t>
            </w:r>
          </w:p>
        </w:tc>
      </w:tr>
      <w:tr w:rsidR="00A12104" w14:paraId="443D547C" w14:textId="77777777" w:rsidTr="00855FE3">
        <w:trPr>
          <w:trHeight w:val="555"/>
          <w:jc w:val="center"/>
        </w:trPr>
        <w:tc>
          <w:tcPr>
            <w:tcW w:w="48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78D158E" w14:textId="36C671A6" w:rsidR="00A12104" w:rsidRDefault="00A12104" w:rsidP="00855FE3">
            <w:pPr>
              <w:rPr>
                <w:rFonts w:ascii="Franklin Gothic Medium" w:hAnsi="Franklin Gothic Medium"/>
                <w:sz w:val="22"/>
                <w:szCs w:val="26"/>
              </w:rPr>
            </w:pPr>
            <w:r w:rsidRPr="00AD7C7C">
              <w:rPr>
                <w:rFonts w:ascii="Franklin Gothic Medium" w:hAnsi="Franklin Gothic Medium"/>
                <w:sz w:val="22"/>
                <w:szCs w:val="26"/>
              </w:rPr>
              <w:t xml:space="preserve">Chair of </w:t>
            </w:r>
            <w:r w:rsidR="006A16A9" w:rsidRPr="00AD7C7C">
              <w:rPr>
                <w:rFonts w:ascii="Franklin Gothic Medium" w:hAnsi="Franklin Gothic Medium"/>
                <w:sz w:val="22"/>
                <w:szCs w:val="26"/>
              </w:rPr>
              <w:t xml:space="preserve">the </w:t>
            </w:r>
            <w:r w:rsidRPr="00AD7C7C">
              <w:rPr>
                <w:rFonts w:ascii="Franklin Gothic Medium" w:hAnsi="Franklin Gothic Medium"/>
                <w:sz w:val="22"/>
                <w:szCs w:val="26"/>
              </w:rPr>
              <w:t xml:space="preserve">Resources </w:t>
            </w:r>
            <w:r>
              <w:rPr>
                <w:rFonts w:ascii="Franklin Gothic Medium" w:hAnsi="Franklin Gothic Medium"/>
                <w:sz w:val="22"/>
                <w:szCs w:val="26"/>
              </w:rPr>
              <w:t>Committee</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80A4C1" w14:textId="77777777" w:rsidR="00A12104" w:rsidRDefault="00A12104" w:rsidP="00855FE3">
            <w:pPr>
              <w:spacing w:after="200" w:line="276" w:lineRule="auto"/>
              <w:rPr>
                <w:rFonts w:eastAsia="Arial Unicode MS" w:cs="Arial"/>
                <w:sz w:val="22"/>
                <w:szCs w:val="22"/>
              </w:rPr>
            </w:pPr>
            <w:r>
              <w:rPr>
                <w:rFonts w:eastAsia="Arial Unicode MS" w:cs="Arial"/>
                <w:sz w:val="22"/>
                <w:szCs w:val="22"/>
              </w:rPr>
              <w:t>K Boulton</w:t>
            </w:r>
          </w:p>
        </w:tc>
      </w:tr>
      <w:tr w:rsidR="00A12104" w14:paraId="3CFFBE90" w14:textId="77777777" w:rsidTr="00855FE3">
        <w:trPr>
          <w:trHeight w:val="555"/>
          <w:jc w:val="center"/>
        </w:trPr>
        <w:tc>
          <w:tcPr>
            <w:tcW w:w="48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FDEE0C0" w14:textId="443A15F6" w:rsidR="00A12104" w:rsidRDefault="00A12104" w:rsidP="00855FE3">
            <w:pPr>
              <w:rPr>
                <w:rFonts w:ascii="Franklin Gothic Medium" w:hAnsi="Franklin Gothic Medium"/>
                <w:sz w:val="22"/>
                <w:szCs w:val="26"/>
              </w:rPr>
            </w:pPr>
            <w:r>
              <w:rPr>
                <w:rFonts w:ascii="Franklin Gothic Medium" w:hAnsi="Franklin Gothic Medium"/>
                <w:sz w:val="22"/>
                <w:szCs w:val="26"/>
              </w:rPr>
              <w:t xml:space="preserve">Headteacher / </w:t>
            </w:r>
            <w:r w:rsidR="009F322A">
              <w:rPr>
                <w:rFonts w:ascii="Franklin Gothic Medium" w:hAnsi="Franklin Gothic Medium"/>
                <w:sz w:val="22"/>
                <w:szCs w:val="26"/>
              </w:rPr>
              <w:t>AO</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611F70" w14:textId="77777777" w:rsidR="00A12104" w:rsidRDefault="00A12104" w:rsidP="00855FE3">
            <w:pPr>
              <w:spacing w:after="200" w:line="276" w:lineRule="auto"/>
              <w:rPr>
                <w:rFonts w:eastAsia="Arial Unicode MS" w:cs="Arial"/>
                <w:sz w:val="22"/>
                <w:szCs w:val="22"/>
              </w:rPr>
            </w:pPr>
            <w:r>
              <w:rPr>
                <w:rFonts w:eastAsia="Arial Unicode MS" w:cs="Arial"/>
                <w:sz w:val="22"/>
                <w:szCs w:val="22"/>
              </w:rPr>
              <w:t>C Costello</w:t>
            </w:r>
          </w:p>
        </w:tc>
      </w:tr>
      <w:tr w:rsidR="00A12104" w14:paraId="41C045CC" w14:textId="77777777" w:rsidTr="00855FE3">
        <w:trPr>
          <w:trHeight w:val="555"/>
          <w:jc w:val="center"/>
        </w:trPr>
        <w:tc>
          <w:tcPr>
            <w:tcW w:w="48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A3E80F7" w14:textId="33DCAE17" w:rsidR="00A12104" w:rsidRDefault="00047065" w:rsidP="00855FE3">
            <w:pPr>
              <w:rPr>
                <w:rFonts w:ascii="Franklin Gothic Medium" w:hAnsi="Franklin Gothic Medium"/>
                <w:sz w:val="22"/>
                <w:szCs w:val="26"/>
              </w:rPr>
            </w:pPr>
            <w:r>
              <w:rPr>
                <w:rFonts w:ascii="Franklin Gothic Medium" w:hAnsi="Franklin Gothic Medium"/>
                <w:sz w:val="22"/>
                <w:szCs w:val="26"/>
              </w:rPr>
              <w:t>Chief Finance &amp; Operations Officer</w:t>
            </w:r>
            <w:r w:rsidR="00A12104">
              <w:rPr>
                <w:rFonts w:ascii="Franklin Gothic Medium" w:hAnsi="Franklin Gothic Medium"/>
                <w:sz w:val="22"/>
                <w:szCs w:val="26"/>
              </w:rPr>
              <w:t xml:space="preserve"> </w:t>
            </w:r>
            <w:r w:rsidR="009F322A">
              <w:rPr>
                <w:rFonts w:ascii="Franklin Gothic Medium" w:hAnsi="Franklin Gothic Medium"/>
                <w:sz w:val="22"/>
                <w:szCs w:val="26"/>
              </w:rPr>
              <w:t>/ CFO</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E657BB" w14:textId="77777777" w:rsidR="00A12104" w:rsidRDefault="00A12104" w:rsidP="00855FE3">
            <w:pPr>
              <w:spacing w:after="200" w:line="276" w:lineRule="auto"/>
              <w:rPr>
                <w:rFonts w:eastAsia="Arial Unicode MS" w:cs="Arial"/>
                <w:sz w:val="22"/>
                <w:szCs w:val="22"/>
              </w:rPr>
            </w:pPr>
            <w:r>
              <w:rPr>
                <w:rFonts w:eastAsia="Arial Unicode MS" w:cs="Arial"/>
                <w:sz w:val="22"/>
                <w:szCs w:val="22"/>
              </w:rPr>
              <w:t>S Roberts</w:t>
            </w:r>
          </w:p>
        </w:tc>
      </w:tr>
      <w:tr w:rsidR="00A12104" w14:paraId="5C4AD21C" w14:textId="77777777" w:rsidTr="00855FE3">
        <w:trPr>
          <w:trHeight w:val="555"/>
          <w:jc w:val="center"/>
        </w:trPr>
        <w:tc>
          <w:tcPr>
            <w:tcW w:w="48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8428B0A" w14:textId="77777777" w:rsidR="00A12104" w:rsidRDefault="00A12104" w:rsidP="00855FE3">
            <w:pPr>
              <w:rPr>
                <w:rFonts w:ascii="Franklin Gothic Medium" w:hAnsi="Franklin Gothic Medium"/>
                <w:sz w:val="22"/>
                <w:szCs w:val="26"/>
              </w:rPr>
            </w:pPr>
            <w:r>
              <w:rPr>
                <w:rFonts w:ascii="Franklin Gothic Medium" w:hAnsi="Franklin Gothic Medium"/>
                <w:sz w:val="22"/>
                <w:szCs w:val="26"/>
              </w:rPr>
              <w:t>Financial Accounting System</w:t>
            </w:r>
          </w:p>
        </w:tc>
        <w:tc>
          <w:tcPr>
            <w:tcW w:w="8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DCAFA2" w14:textId="77777777" w:rsidR="00A12104" w:rsidRDefault="00A12104" w:rsidP="00855FE3">
            <w:pPr>
              <w:spacing w:after="200" w:line="276" w:lineRule="auto"/>
              <w:rPr>
                <w:rFonts w:eastAsia="Arial Unicode MS" w:cs="Arial"/>
                <w:sz w:val="22"/>
                <w:szCs w:val="22"/>
              </w:rPr>
            </w:pPr>
            <w:r>
              <w:rPr>
                <w:rFonts w:eastAsia="Arial Unicode MS" w:cs="Arial"/>
                <w:sz w:val="22"/>
                <w:szCs w:val="22"/>
              </w:rPr>
              <w:t>FMS</w:t>
            </w:r>
          </w:p>
        </w:tc>
      </w:tr>
    </w:tbl>
    <w:p w14:paraId="031546B9" w14:textId="77777777" w:rsidR="00A12104" w:rsidRPr="00471147" w:rsidRDefault="00A12104" w:rsidP="00143CE0">
      <w:pPr>
        <w:pStyle w:val="Sub-heading"/>
      </w:pPr>
    </w:p>
    <w:p w14:paraId="2EC41E8B" w14:textId="77777777" w:rsidR="00A12104" w:rsidRDefault="00A12104">
      <w:pPr>
        <w:suppressAutoHyphens w:val="0"/>
        <w:spacing w:before="0" w:after="0" w:line="240" w:lineRule="auto"/>
        <w:rPr>
          <w:rFonts w:eastAsia="Arial Unicode MS"/>
          <w:b/>
          <w:color w:val="3C3060"/>
          <w:sz w:val="40"/>
          <w:szCs w:val="40"/>
        </w:rPr>
      </w:pPr>
      <w:r>
        <w:rPr>
          <w:rFonts w:eastAsia="Arial Unicode MS"/>
          <w:b/>
          <w:color w:val="3C3060"/>
          <w:sz w:val="40"/>
          <w:szCs w:val="40"/>
        </w:rPr>
        <w:br w:type="page"/>
      </w:r>
    </w:p>
    <w:p w14:paraId="7B049FED" w14:textId="201A5F3B" w:rsidR="00D50B64" w:rsidRDefault="00D50B64" w:rsidP="00D50B64">
      <w:pPr>
        <w:spacing w:line="276" w:lineRule="auto"/>
        <w:rPr>
          <w:rFonts w:eastAsia="Arial Unicode MS"/>
          <w:b/>
          <w:color w:val="3C3060"/>
          <w:sz w:val="32"/>
          <w:szCs w:val="32"/>
        </w:rPr>
      </w:pPr>
      <w:r w:rsidRPr="00B269F9">
        <w:rPr>
          <w:rFonts w:eastAsia="Arial Unicode MS"/>
          <w:b/>
          <w:color w:val="3C3060"/>
          <w:sz w:val="40"/>
          <w:szCs w:val="40"/>
        </w:rPr>
        <w:t xml:space="preserve">EMERGING ISSUES </w:t>
      </w:r>
    </w:p>
    <w:p w14:paraId="7B784187" w14:textId="77777777" w:rsidR="009E688A" w:rsidRPr="00FA5004" w:rsidRDefault="009E688A" w:rsidP="00143CE0">
      <w:pPr>
        <w:pStyle w:val="Sub-heading"/>
      </w:pPr>
      <w:r>
        <w:t xml:space="preserve">INTEGRATED CURRICULUM </w:t>
      </w:r>
      <w:r w:rsidR="00BA3919">
        <w:t xml:space="preserve">AND </w:t>
      </w:r>
      <w:r>
        <w:t>FINANCIAL PLANNING (ICFP)</w:t>
      </w:r>
    </w:p>
    <w:p w14:paraId="4F76D0C0" w14:textId="77777777" w:rsidR="00FE7D9F" w:rsidRDefault="00FE7D9F" w:rsidP="00FE7D9F">
      <w:pPr>
        <w:rPr>
          <w:sz w:val="22"/>
          <w:szCs w:val="26"/>
        </w:rPr>
      </w:pPr>
      <w:r w:rsidRPr="00FE7D9F">
        <w:rPr>
          <w:sz w:val="22"/>
          <w:szCs w:val="26"/>
        </w:rPr>
        <w:t>Integrated curriculum and financial planning is a management process that helps schools plan the best curriculum for their pupils with the funding they have available. It can be used at any phase or type of school.</w:t>
      </w:r>
      <w:r w:rsidR="00BA3919">
        <w:rPr>
          <w:sz w:val="22"/>
          <w:szCs w:val="26"/>
        </w:rPr>
        <w:t xml:space="preserve">  </w:t>
      </w:r>
      <w:r w:rsidRPr="00FE7D9F">
        <w:rPr>
          <w:sz w:val="22"/>
          <w:szCs w:val="26"/>
        </w:rPr>
        <w:t>ICFP involves measuring your current curriculum, staffing structure and finances, and using the data to create a 3- to 5-year plan. Linking curriculum and financial planning can help you:</w:t>
      </w:r>
      <w:r>
        <w:rPr>
          <w:sz w:val="22"/>
          <w:szCs w:val="26"/>
        </w:rPr>
        <w:t xml:space="preserve"> </w:t>
      </w:r>
      <w:r w:rsidRPr="00FE7D9F">
        <w:rPr>
          <w:sz w:val="22"/>
          <w:szCs w:val="26"/>
        </w:rPr>
        <w:t>achieve educational success and financial sustainability</w:t>
      </w:r>
      <w:r>
        <w:rPr>
          <w:sz w:val="22"/>
          <w:szCs w:val="26"/>
        </w:rPr>
        <w:t xml:space="preserve">; </w:t>
      </w:r>
      <w:r w:rsidRPr="00FE7D9F">
        <w:rPr>
          <w:sz w:val="22"/>
          <w:szCs w:val="26"/>
        </w:rPr>
        <w:t>deliver the best curriculum your school can afford that meets the needs of your pupils</w:t>
      </w:r>
      <w:r>
        <w:rPr>
          <w:sz w:val="22"/>
          <w:szCs w:val="26"/>
        </w:rPr>
        <w:t>.</w:t>
      </w:r>
    </w:p>
    <w:p w14:paraId="1C334792" w14:textId="77777777" w:rsidR="00FE7D9F" w:rsidRPr="00FE7D9F" w:rsidRDefault="009F4C73" w:rsidP="00FE7D9F">
      <w:pPr>
        <w:rPr>
          <w:sz w:val="22"/>
          <w:szCs w:val="26"/>
        </w:rPr>
      </w:pPr>
      <w:hyperlink r:id="rId11" w:history="1">
        <w:r w:rsidR="00FE7D9F" w:rsidRPr="00FE7D9F">
          <w:rPr>
            <w:rStyle w:val="Hyperlink"/>
            <w:sz w:val="22"/>
            <w:szCs w:val="26"/>
          </w:rPr>
          <w:t>Free ICFP tools</w:t>
        </w:r>
      </w:hyperlink>
      <w:r w:rsidR="00FE7D9F">
        <w:rPr>
          <w:sz w:val="22"/>
          <w:szCs w:val="26"/>
        </w:rPr>
        <w:t xml:space="preserve"> are available for different school types on the DofE website</w:t>
      </w:r>
      <w:r w:rsidR="00BA3919">
        <w:rPr>
          <w:sz w:val="22"/>
          <w:szCs w:val="26"/>
        </w:rPr>
        <w:t xml:space="preserve">.  Juniper is also able to offer an ICFP Health Check as part of your trust’s internal scrutiny program, </w:t>
      </w:r>
      <w:r w:rsidR="00BA3919" w:rsidRPr="005A7185">
        <w:rPr>
          <w:sz w:val="22"/>
          <w:szCs w:val="22"/>
        </w:rPr>
        <w:t xml:space="preserve">. If you would like </w:t>
      </w:r>
      <w:r w:rsidR="00BA3919">
        <w:rPr>
          <w:sz w:val="22"/>
          <w:szCs w:val="22"/>
        </w:rPr>
        <w:t>more information about this</w:t>
      </w:r>
      <w:r w:rsidR="00BA3919" w:rsidRPr="005A7185">
        <w:rPr>
          <w:sz w:val="22"/>
          <w:szCs w:val="22"/>
        </w:rPr>
        <w:t xml:space="preserve">, please contact </w:t>
      </w:r>
      <w:hyperlink r:id="rId12" w:history="1">
        <w:r w:rsidR="00BA3919" w:rsidRPr="005A7185">
          <w:rPr>
            <w:sz w:val="22"/>
            <w:szCs w:val="22"/>
            <w:u w:val="single"/>
          </w:rPr>
          <w:t>carly.quickcrockford@junipereducation.org</w:t>
        </w:r>
      </w:hyperlink>
    </w:p>
    <w:p w14:paraId="764D5C24" w14:textId="77777777" w:rsidR="00D50B64" w:rsidRPr="00B87A87" w:rsidRDefault="00D50B64" w:rsidP="00143CE0">
      <w:pPr>
        <w:pStyle w:val="Sub-heading"/>
      </w:pPr>
      <w:r w:rsidRPr="00B87A87">
        <w:t xml:space="preserve">CYBER SECURITY </w:t>
      </w:r>
    </w:p>
    <w:p w14:paraId="10D4C273" w14:textId="77777777" w:rsidR="00D50B64" w:rsidRPr="00865B75" w:rsidRDefault="00D50B64" w:rsidP="00D50B64">
      <w:pPr>
        <w:spacing w:line="240" w:lineRule="auto"/>
        <w:rPr>
          <w:rFonts w:eastAsia="Arial Unicode MS"/>
          <w:b/>
          <w:bCs/>
          <w:color w:val="3C3060"/>
          <w:sz w:val="28"/>
          <w:szCs w:val="28"/>
          <w:lang w:eastAsia="en-GB"/>
        </w:rPr>
      </w:pPr>
      <w:r w:rsidRPr="00865B75">
        <w:rPr>
          <w:sz w:val="22"/>
          <w:szCs w:val="22"/>
        </w:rPr>
        <w:t>Cyber security has continued to be a growing area of concern and risk over the past 1</w:t>
      </w:r>
      <w:r>
        <w:rPr>
          <w:sz w:val="22"/>
          <w:szCs w:val="22"/>
        </w:rPr>
        <w:t>8</w:t>
      </w:r>
      <w:r w:rsidRPr="00865B75">
        <w:rPr>
          <w:sz w:val="22"/>
          <w:szCs w:val="22"/>
        </w:rPr>
        <w:t xml:space="preserve"> months, with more people working remotely and an increased frequency of email hacking, phishing and malvertising.  The July 2020 </w:t>
      </w:r>
      <w:hyperlink r:id="rId13" w:anchor="new-guidance-on-managing-cyber-security-risks-in-your-school" w:history="1">
        <w:r w:rsidRPr="00865B75">
          <w:rPr>
            <w:rStyle w:val="Hyperlink"/>
            <w:sz w:val="22"/>
            <w:szCs w:val="22"/>
          </w:rPr>
          <w:t>governance update</w:t>
        </w:r>
      </w:hyperlink>
      <w:r w:rsidRPr="00865B75">
        <w:rPr>
          <w:sz w:val="22"/>
          <w:szCs w:val="22"/>
        </w:rPr>
        <w:t xml:space="preserve"> advises that schools should include an assessment of cyber security within their risk registers, and the ESFA have produced further guidance and suggested questions that trustees can ask on the </w:t>
      </w:r>
      <w:hyperlink r:id="rId14" w:history="1">
        <w:r w:rsidRPr="00865B75">
          <w:rPr>
            <w:rStyle w:val="Hyperlink"/>
            <w:sz w:val="22"/>
            <w:szCs w:val="22"/>
          </w:rPr>
          <w:t>National Cyber Security Centre website</w:t>
        </w:r>
      </w:hyperlink>
      <w:r w:rsidRPr="00865B75">
        <w:rPr>
          <w:sz w:val="22"/>
          <w:szCs w:val="22"/>
        </w:rPr>
        <w:t>.</w:t>
      </w:r>
      <w:r>
        <w:t xml:space="preserve"> </w:t>
      </w:r>
    </w:p>
    <w:p w14:paraId="4D346282" w14:textId="77777777" w:rsidR="00D50B64" w:rsidRPr="00B87A87" w:rsidRDefault="00D50B64" w:rsidP="00143CE0">
      <w:pPr>
        <w:pStyle w:val="Sub-heading"/>
      </w:pPr>
      <w:r w:rsidRPr="00B87A87">
        <w:t>GDPR</w:t>
      </w:r>
    </w:p>
    <w:p w14:paraId="6DB3FFEC" w14:textId="77777777" w:rsidR="00BA3919" w:rsidRDefault="00D50B64" w:rsidP="00BA3919">
      <w:pPr>
        <w:jc w:val="both"/>
        <w:textAlignment w:val="baseline"/>
        <w:rPr>
          <w:sz w:val="22"/>
          <w:szCs w:val="22"/>
        </w:rPr>
      </w:pPr>
      <w:r w:rsidRPr="005A7185">
        <w:rPr>
          <w:sz w:val="22"/>
          <w:szCs w:val="22"/>
        </w:rPr>
        <w:t xml:space="preserve">An increasing number of schools are incurring unplanned costs, both direct and indirect, because of the increase in basic, and easily avoidable, data protection incidents and poorly managed school communications. This is combined with the increasing awareness of data subject of their right to bring a claim [on average in the order of £5,000 per claimant], directly against a school, leading to considerable potential risk to a school.  Our GPDR associate has created a briefing video which helps you understand the changing risk to your school and employ some basic strategies and resources to help mitigate them and protect your school against unplanned costs. If you would like access to this briefing, please contact </w:t>
      </w:r>
      <w:hyperlink r:id="rId15" w:history="1">
        <w:r w:rsidRPr="005A7185">
          <w:rPr>
            <w:sz w:val="22"/>
            <w:szCs w:val="22"/>
            <w:u w:val="single"/>
          </w:rPr>
          <w:t>carly.quickcrockford@junipereducation.org</w:t>
        </w:r>
      </w:hyperlink>
      <w:r>
        <w:rPr>
          <w:sz w:val="22"/>
          <w:szCs w:val="22"/>
        </w:rPr>
        <w:t xml:space="preserve"> </w:t>
      </w:r>
    </w:p>
    <w:p w14:paraId="2D6DF3C0" w14:textId="77777777" w:rsidR="00D50B64" w:rsidRPr="00BA3919" w:rsidRDefault="00BA3919" w:rsidP="00BA3919">
      <w:pPr>
        <w:suppressAutoHyphens w:val="0"/>
        <w:spacing w:before="0" w:after="0" w:line="240" w:lineRule="auto"/>
        <w:rPr>
          <w:sz w:val="22"/>
          <w:szCs w:val="22"/>
        </w:rPr>
      </w:pPr>
      <w:r>
        <w:rPr>
          <w:sz w:val="22"/>
          <w:szCs w:val="22"/>
        </w:rPr>
        <w:br w:type="page"/>
      </w:r>
      <w:r w:rsidR="00D50B64">
        <w:rPr>
          <w:rFonts w:eastAsia="Arial Unicode MS"/>
          <w:b/>
          <w:color w:val="3C3060"/>
          <w:sz w:val="40"/>
          <w:szCs w:val="40"/>
        </w:rPr>
        <w:t>USEFUL LINKS</w:t>
      </w:r>
    </w:p>
    <w:p w14:paraId="6E2CDFB1" w14:textId="77777777" w:rsidR="00D50B64" w:rsidRPr="00B87A87" w:rsidRDefault="00D50B64" w:rsidP="00143CE0">
      <w:pPr>
        <w:pStyle w:val="Sub-heading"/>
      </w:pPr>
      <w:bookmarkStart w:id="2" w:name="_Hlk98926574"/>
      <w:r w:rsidRPr="00B87A87">
        <w:t>ACADEMY TRUST HANDBOOK</w:t>
      </w:r>
    </w:p>
    <w:bookmarkEnd w:id="2"/>
    <w:p w14:paraId="4A8E8C6D" w14:textId="77777777" w:rsidR="00D50B64" w:rsidRDefault="00D50B64" w:rsidP="00D50B64">
      <w:pPr>
        <w:spacing w:line="276" w:lineRule="auto"/>
        <w:rPr>
          <w:sz w:val="22"/>
          <w:szCs w:val="22"/>
        </w:rPr>
      </w:pPr>
      <w:r>
        <w:rPr>
          <w:sz w:val="22"/>
          <w:szCs w:val="22"/>
        </w:rPr>
        <w:t>The Academy trust handbook 202</w:t>
      </w:r>
      <w:r w:rsidR="00B87A87">
        <w:rPr>
          <w:sz w:val="22"/>
          <w:szCs w:val="22"/>
        </w:rPr>
        <w:t>2</w:t>
      </w:r>
      <w:r>
        <w:rPr>
          <w:sz w:val="22"/>
          <w:szCs w:val="22"/>
        </w:rPr>
        <w:t xml:space="preserve"> is effective from September 202</w:t>
      </w:r>
      <w:r w:rsidR="00B87A87">
        <w:rPr>
          <w:sz w:val="22"/>
          <w:szCs w:val="22"/>
        </w:rPr>
        <w:t>2</w:t>
      </w:r>
      <w:r>
        <w:rPr>
          <w:sz w:val="22"/>
          <w:szCs w:val="22"/>
        </w:rPr>
        <w:t>.  Trustees should ensure that they have read this document and noted any changes to ensure any new requirements are adhered to.</w:t>
      </w:r>
    </w:p>
    <w:p w14:paraId="59AE06A4" w14:textId="77777777" w:rsidR="00B87A87" w:rsidRPr="00B87A87" w:rsidRDefault="009F4C73" w:rsidP="00D50B64">
      <w:pPr>
        <w:spacing w:line="276" w:lineRule="auto"/>
        <w:rPr>
          <w:sz w:val="24"/>
        </w:rPr>
      </w:pPr>
      <w:hyperlink r:id="rId16" w:history="1">
        <w:r w:rsidR="00B87A87" w:rsidRPr="00B87A87">
          <w:rPr>
            <w:rStyle w:val="Hyperlink"/>
            <w:sz w:val="22"/>
            <w:szCs w:val="26"/>
          </w:rPr>
          <w:t>ATH 2022 (publishing.service.gov.uk)</w:t>
        </w:r>
      </w:hyperlink>
      <w:r w:rsidR="00B87A87" w:rsidRPr="00B87A87">
        <w:rPr>
          <w:sz w:val="22"/>
          <w:szCs w:val="26"/>
        </w:rPr>
        <w:t xml:space="preserve"> </w:t>
      </w:r>
    </w:p>
    <w:p w14:paraId="0441A1A4" w14:textId="77777777" w:rsidR="00D50B64" w:rsidRPr="00B87A87" w:rsidRDefault="00D50B64" w:rsidP="00143CE0">
      <w:pPr>
        <w:pStyle w:val="Sub-heading"/>
      </w:pPr>
      <w:r w:rsidRPr="00B87A87">
        <w:t>INTERNAL SCRUTINY IN ACADEMY TRUSTS</w:t>
      </w:r>
    </w:p>
    <w:p w14:paraId="64E2BECF" w14:textId="77777777" w:rsidR="00D50B64" w:rsidRPr="002D0E58" w:rsidRDefault="00D50B64" w:rsidP="00D50B64">
      <w:pPr>
        <w:spacing w:line="276" w:lineRule="auto"/>
        <w:rPr>
          <w:sz w:val="22"/>
          <w:szCs w:val="22"/>
        </w:rPr>
      </w:pPr>
      <w:r w:rsidRPr="002D0E58">
        <w:rPr>
          <w:sz w:val="22"/>
          <w:szCs w:val="22"/>
        </w:rPr>
        <w:t>This good practice guide provides guidance for trustees, audit and risk committees, accounting officers, and chief financial officers (CFOs) in academy trusts.</w:t>
      </w:r>
    </w:p>
    <w:p w14:paraId="69BEE7CF" w14:textId="77777777" w:rsidR="00AE6D8E" w:rsidRPr="00D50B64" w:rsidRDefault="009F4C73" w:rsidP="00D50B64">
      <w:hyperlink r:id="rId17" w:anchor="annex-1" w:history="1">
        <w:r w:rsidR="00D50B64" w:rsidRPr="002D0E58">
          <w:rPr>
            <w:rStyle w:val="Hyperlink"/>
            <w:sz w:val="22"/>
            <w:szCs w:val="26"/>
          </w:rPr>
          <w:t>Internal scrutiny in academy trusts - GOV.UK (www.gov.uk)</w:t>
        </w:r>
      </w:hyperlink>
    </w:p>
    <w:sectPr w:rsidR="00AE6D8E" w:rsidRPr="00D50B64" w:rsidSect="000136CD">
      <w:footerReference w:type="default" r:id="rId18"/>
      <w:headerReference w:type="first" r:id="rId19"/>
      <w:footerReference w:type="first" r:id="rId20"/>
      <w:pgSz w:w="16840" w:h="11900" w:orient="landscape"/>
      <w:pgMar w:top="1440" w:right="907" w:bottom="1823" w:left="907" w:header="709" w:footer="89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1232C" w14:textId="77777777" w:rsidR="00D33D55" w:rsidRDefault="00D33D55" w:rsidP="00B626E2">
      <w:r>
        <w:separator/>
      </w:r>
    </w:p>
  </w:endnote>
  <w:endnote w:type="continuationSeparator" w:id="0">
    <w:p w14:paraId="3D66E2CE" w14:textId="77777777" w:rsidR="00D33D55" w:rsidRDefault="00D33D55" w:rsidP="00B626E2">
      <w:r>
        <w:continuationSeparator/>
      </w:r>
    </w:p>
  </w:endnote>
  <w:endnote w:type="continuationNotice" w:id="1">
    <w:p w14:paraId="3EAC9786" w14:textId="77777777" w:rsidR="00D33D55" w:rsidRDefault="00D33D5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aux Next">
    <w:altName w:val="Calibri"/>
    <w:panose1 w:val="00000000000000000000"/>
    <w:charset w:val="4D"/>
    <w:family w:val="auto"/>
    <w:notTrueType/>
    <w:pitch w:val="variable"/>
    <w:sig w:usb0="A000006F" w:usb1="4000204B"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aux Next Regular">
    <w:altName w:val="Calibri"/>
    <w:panose1 w:val="00000000000000000000"/>
    <w:charset w:val="00"/>
    <w:family w:val="modern"/>
    <w:notTrueType/>
    <w:pitch w:val="variable"/>
    <w:sig w:usb0="A000006F" w:usb1="4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Zona Pro">
    <w:altName w:val="Calibri"/>
    <w:panose1 w:val="00000000000000000000"/>
    <w:charset w:val="00"/>
    <w:family w:val="modern"/>
    <w:notTrueType/>
    <w:pitch w:val="variable"/>
    <w:sig w:usb0="800000AF" w:usb1="4000004A" w:usb2="00000000" w:usb3="00000000" w:csb0="0000009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41F59" w14:textId="77777777" w:rsidR="000136CD" w:rsidRPr="001B442B" w:rsidRDefault="000136CD" w:rsidP="000136CD">
    <w:pPr>
      <w:pStyle w:val="Footer"/>
    </w:pPr>
    <w:r>
      <w:rPr>
        <w:noProof/>
        <w:lang w:eastAsia="en-GB"/>
      </w:rPr>
      <mc:AlternateContent>
        <mc:Choice Requires="wps">
          <w:drawing>
            <wp:anchor distT="45720" distB="45720" distL="114300" distR="114300" simplePos="0" relativeHeight="251658243" behindDoc="0" locked="0" layoutInCell="1" allowOverlap="1" wp14:anchorId="5793F918" wp14:editId="62C7F0D9">
              <wp:simplePos x="0" y="0"/>
              <wp:positionH relativeFrom="column">
                <wp:posOffset>-98121</wp:posOffset>
              </wp:positionH>
              <wp:positionV relativeFrom="paragraph">
                <wp:posOffset>44450</wp:posOffset>
              </wp:positionV>
              <wp:extent cx="4285753" cy="556591"/>
              <wp:effectExtent l="0" t="0"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5753" cy="556591"/>
                      </a:xfrm>
                      <a:prstGeom prst="rect">
                        <a:avLst/>
                      </a:prstGeom>
                      <a:noFill/>
                      <a:ln w="9525">
                        <a:noFill/>
                        <a:miter lim="800000"/>
                        <a:headEnd/>
                        <a:tailEnd/>
                      </a:ln>
                    </wps:spPr>
                    <wps:txbx>
                      <w:txbxContent>
                        <w:p w14:paraId="2EE30F9A" w14:textId="77777777" w:rsidR="000136CD" w:rsidRPr="00FB0365" w:rsidRDefault="000136CD" w:rsidP="000136CD">
                          <w:pPr>
                            <w:spacing w:line="240" w:lineRule="auto"/>
                            <w:rPr>
                              <w:sz w:val="18"/>
                              <w:szCs w:val="22"/>
                            </w:rPr>
                          </w:pPr>
                          <w:r w:rsidRPr="00FB0365">
                            <w:rPr>
                              <w:rFonts w:cs="Zona Pro"/>
                              <w:color w:val="696969" w:themeColor="accent5"/>
                              <w:sz w:val="12"/>
                              <w:szCs w:val="12"/>
                            </w:rPr>
                            <w:t>© 2020 Juniper Education. All rights reserved. This publication is the intellectual property of Juniper Education and no part of it may be reproduced, stored or transmitted by any means without prior permission of Juniper Education. Any unauthorised use for commercial gain will constitute an infringement of copyright.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793F918" id="_x0000_t202" coordsize="21600,21600" o:spt="202" path="m,l,21600r21600,l21600,xe">
              <v:stroke joinstyle="miter"/>
              <v:path gradientshapeok="t" o:connecttype="rect"/>
            </v:shapetype>
            <v:shape id="Text Box 2" o:spid="_x0000_s1026" type="#_x0000_t202" style="position:absolute;margin-left:-7.75pt;margin-top:3.5pt;width:337.45pt;height:43.8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" filled="f" stroked="f">
              <v:textbox>
                <w:txbxContent>
                  <w:p w14:paraId="2EE30F9A" w14:textId="77777777" w:rsidR="000136CD" w:rsidRPr="00FB0365" w:rsidRDefault="000136CD" w:rsidP="000136CD">
                    <w:pPr>
                      <w:spacing w:line="240" w:lineRule="auto"/>
                      <w:rPr>
                        <w:sz w:val="18"/>
                        <w:szCs w:val="22"/>
                      </w:rPr>
                    </w:pPr>
                    <w:r w:rsidRPr="00FB0365">
                      <w:rPr>
                        <w:rFonts w:cs="Zona Pro"/>
                        <w:color w:val="696969" w:themeColor="accent5"/>
                        <w:sz w:val="12"/>
                        <w:szCs w:val="12"/>
                      </w:rPr>
                      <w:t xml:space="preserve">© 2020 Juniper Education. All rights reserved. This publication is the intellectual property of Juniper Education and no part of it may be reproduced, </w:t>
                    </w:r>
                    <w:proofErr w:type="gramStart"/>
                    <w:r w:rsidRPr="00FB0365">
                      <w:rPr>
                        <w:rFonts w:cs="Zona Pro"/>
                        <w:color w:val="696969" w:themeColor="accent5"/>
                        <w:sz w:val="12"/>
                        <w:szCs w:val="12"/>
                      </w:rPr>
                      <w:t>stored</w:t>
                    </w:r>
                    <w:proofErr w:type="gramEnd"/>
                    <w:r w:rsidRPr="00FB0365">
                      <w:rPr>
                        <w:rFonts w:cs="Zona Pro"/>
                        <w:color w:val="696969" w:themeColor="accent5"/>
                        <w:sz w:val="12"/>
                        <w:szCs w:val="12"/>
                      </w:rPr>
                      <w:t xml:space="preserve"> or transmitted by any means without prior permission of Juniper Education. Any unauthorised use for commercial gain will constitute an infringement of copyright.</w:t>
                    </w:r>
                  </w:p>
                </w:txbxContent>
              </v:textbox>
            </v:shape>
          </w:pict>
        </mc:Fallback>
      </mc:AlternateContent>
    </w:r>
    <w:r w:rsidRPr="001B442B">
      <w:t>0345 200 8600</w:t>
    </w:r>
    <w:r>
      <w:t xml:space="preserve"> |</w:t>
    </w:r>
    <w:r w:rsidRPr="001B442B">
      <w:t>enquiries@junipereducation.org</w:t>
    </w:r>
    <w:r>
      <w:t xml:space="preserve"> | </w:t>
    </w:r>
    <w:r w:rsidRPr="001B442B">
      <w:t>junipereducation.org</w:t>
    </w:r>
  </w:p>
  <w:p w14:paraId="276387EE" w14:textId="77777777" w:rsidR="00C47C8E" w:rsidRPr="00C842DE" w:rsidRDefault="007C46F8" w:rsidP="00C842DE">
    <w:pPr>
      <w:pStyle w:val="Footer"/>
    </w:pPr>
    <w:r>
      <w:rPr>
        <w:noProof/>
        <w:lang w:eastAsia="en-GB"/>
        <w14:ligatures w14:val="none"/>
      </w:rPr>
      <w:drawing>
        <wp:anchor distT="0" distB="0" distL="114300" distR="114300" simplePos="0" relativeHeight="251658241" behindDoc="1" locked="1" layoutInCell="1" allowOverlap="1" wp14:anchorId="2B6F9A96" wp14:editId="738A3997">
          <wp:simplePos x="0" y="0"/>
          <wp:positionH relativeFrom="column">
            <wp:posOffset>-558800</wp:posOffset>
          </wp:positionH>
          <wp:positionV relativeFrom="page">
            <wp:posOffset>6484620</wp:posOffset>
          </wp:positionV>
          <wp:extent cx="10659600" cy="1076400"/>
          <wp:effectExtent l="0" t="0" r="0" b="317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niper A4.jpg"/>
                  <pic:cNvPicPr/>
                </pic:nvPicPr>
                <pic:blipFill>
                  <a:blip r:embed="rId1">
                    <a:extLst>
                      <a:ext uri="{28A0092B-C50C-407E-A947-70E740481C1C}">
                        <a14:useLocalDpi xmlns:a14="http://schemas.microsoft.com/office/drawing/2010/main" val="0"/>
                      </a:ext>
                    </a:extLst>
                  </a:blip>
                  <a:stretch>
                    <a:fillRect/>
                  </a:stretch>
                </pic:blipFill>
                <pic:spPr>
                  <a:xfrm>
                    <a:off x="0" y="0"/>
                    <a:ext cx="10659600" cy="10764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512D6" w14:textId="77777777" w:rsidR="000136CD" w:rsidRPr="001B442B" w:rsidRDefault="000136CD" w:rsidP="000136CD">
    <w:pPr>
      <w:pStyle w:val="Footer"/>
    </w:pPr>
    <w:r>
      <w:rPr>
        <w:noProof/>
        <w:lang w:eastAsia="en-GB"/>
      </w:rPr>
      <mc:AlternateContent>
        <mc:Choice Requires="wps">
          <w:drawing>
            <wp:anchor distT="45720" distB="45720" distL="114300" distR="114300" simplePos="0" relativeHeight="251658242" behindDoc="0" locked="0" layoutInCell="1" allowOverlap="1" wp14:anchorId="6234C0CA" wp14:editId="1CD4E85E">
              <wp:simplePos x="0" y="0"/>
              <wp:positionH relativeFrom="column">
                <wp:posOffset>-98121</wp:posOffset>
              </wp:positionH>
              <wp:positionV relativeFrom="paragraph">
                <wp:posOffset>44450</wp:posOffset>
              </wp:positionV>
              <wp:extent cx="4285753" cy="556591"/>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5753" cy="556591"/>
                      </a:xfrm>
                      <a:prstGeom prst="rect">
                        <a:avLst/>
                      </a:prstGeom>
                      <a:noFill/>
                      <a:ln w="9525">
                        <a:noFill/>
                        <a:miter lim="800000"/>
                        <a:headEnd/>
                        <a:tailEnd/>
                      </a:ln>
                    </wps:spPr>
                    <wps:txbx>
                      <w:txbxContent>
                        <w:p w14:paraId="6F135873" w14:textId="77777777" w:rsidR="000136CD" w:rsidRPr="00FB0365" w:rsidRDefault="000136CD" w:rsidP="000136CD">
                          <w:pPr>
                            <w:spacing w:line="240" w:lineRule="auto"/>
                            <w:rPr>
                              <w:sz w:val="18"/>
                              <w:szCs w:val="22"/>
                            </w:rPr>
                          </w:pPr>
                          <w:r w:rsidRPr="00FB0365">
                            <w:rPr>
                              <w:rFonts w:cs="Zona Pro"/>
                              <w:color w:val="696969" w:themeColor="accent5"/>
                              <w:sz w:val="12"/>
                              <w:szCs w:val="12"/>
                            </w:rPr>
                            <w:t>© 2020 Juniper Education. All rights reserved. This publication is the intellectual property of Juniper Education and no part of it may be reproduced, stored or transmitted by any means without prior permission of Juniper Education. Any unauthorised use for commercial gain will constitute an infringement of copyright.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234C0CA" id="_x0000_t202" coordsize="21600,21600" o:spt="202" path="m,l,21600r21600,l21600,xe">
              <v:stroke joinstyle="miter"/>
              <v:path gradientshapeok="t" o:connecttype="rect"/>
            </v:shapetype>
            <v:shape id="_x0000_s1027" type="#_x0000_t202" style="position:absolute;margin-left:-7.75pt;margin-top:3.5pt;width:337.45pt;height:43.8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" filled="f" stroked="f">
              <v:textbox>
                <w:txbxContent>
                  <w:p w14:paraId="6F135873" w14:textId="77777777" w:rsidR="000136CD" w:rsidRPr="00FB0365" w:rsidRDefault="000136CD" w:rsidP="000136CD">
                    <w:pPr>
                      <w:spacing w:line="240" w:lineRule="auto"/>
                      <w:rPr>
                        <w:sz w:val="18"/>
                        <w:szCs w:val="22"/>
                      </w:rPr>
                    </w:pPr>
                    <w:r w:rsidRPr="00FB0365">
                      <w:rPr>
                        <w:rFonts w:cs="Zona Pro"/>
                        <w:color w:val="696969" w:themeColor="accent5"/>
                        <w:sz w:val="12"/>
                        <w:szCs w:val="12"/>
                      </w:rPr>
                      <w:t xml:space="preserve">© 2020 Juniper Education. All rights reserved. This publication is the intellectual property of Juniper Education and no part of it may be reproduced, </w:t>
                    </w:r>
                    <w:proofErr w:type="gramStart"/>
                    <w:r w:rsidRPr="00FB0365">
                      <w:rPr>
                        <w:rFonts w:cs="Zona Pro"/>
                        <w:color w:val="696969" w:themeColor="accent5"/>
                        <w:sz w:val="12"/>
                        <w:szCs w:val="12"/>
                      </w:rPr>
                      <w:t>stored</w:t>
                    </w:r>
                    <w:proofErr w:type="gramEnd"/>
                    <w:r w:rsidRPr="00FB0365">
                      <w:rPr>
                        <w:rFonts w:cs="Zona Pro"/>
                        <w:color w:val="696969" w:themeColor="accent5"/>
                        <w:sz w:val="12"/>
                        <w:szCs w:val="12"/>
                      </w:rPr>
                      <w:t xml:space="preserve"> or transmitted by any means without prior permission of Juniper Education. Any unauthorised use for commercial gain will constitute an infringement of copyright.</w:t>
                    </w:r>
                  </w:p>
                </w:txbxContent>
              </v:textbox>
            </v:shape>
          </w:pict>
        </mc:Fallback>
      </mc:AlternateContent>
    </w:r>
    <w:r w:rsidRPr="001B442B">
      <w:t>0345 200 8600</w:t>
    </w:r>
    <w:r>
      <w:t xml:space="preserve"> |</w:t>
    </w:r>
    <w:r w:rsidRPr="001B442B">
      <w:t>enquiries@junipereducation.org</w:t>
    </w:r>
    <w:r>
      <w:t xml:space="preserve"> | </w:t>
    </w:r>
    <w:r w:rsidRPr="001B442B">
      <w:t>junipereducation.org</w:t>
    </w:r>
  </w:p>
  <w:p w14:paraId="279049D3" w14:textId="77777777" w:rsidR="000136CD" w:rsidRDefault="000136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12F2E" w14:textId="77777777" w:rsidR="00D33D55" w:rsidRDefault="00D33D55" w:rsidP="00B626E2">
      <w:r>
        <w:separator/>
      </w:r>
    </w:p>
  </w:footnote>
  <w:footnote w:type="continuationSeparator" w:id="0">
    <w:p w14:paraId="04349B80" w14:textId="77777777" w:rsidR="00D33D55" w:rsidRDefault="00D33D55" w:rsidP="00B626E2">
      <w:r>
        <w:continuationSeparator/>
      </w:r>
    </w:p>
  </w:footnote>
  <w:footnote w:type="continuationNotice" w:id="1">
    <w:p w14:paraId="7BD8223F" w14:textId="77777777" w:rsidR="00D33D55" w:rsidRDefault="00D33D55">
      <w:pPr>
        <w:spacing w:before="0"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60A22" w14:textId="77777777" w:rsidR="00C47C8E" w:rsidRDefault="005353C3" w:rsidP="00B626E2">
    <w:r>
      <w:rPr>
        <w:noProof/>
        <w:lang w:eastAsia="en-GB"/>
        <w14:ligatures w14:val="none"/>
      </w:rPr>
      <w:drawing>
        <wp:anchor distT="0" distB="0" distL="114300" distR="114300" simplePos="0" relativeHeight="251658240" behindDoc="1" locked="1" layoutInCell="1" allowOverlap="1" wp14:anchorId="18D0528A" wp14:editId="0AFB3534">
          <wp:simplePos x="0" y="0"/>
          <wp:positionH relativeFrom="column">
            <wp:posOffset>-562610</wp:posOffset>
          </wp:positionH>
          <wp:positionV relativeFrom="page">
            <wp:posOffset>0</wp:posOffset>
          </wp:positionV>
          <wp:extent cx="7524000" cy="885600"/>
          <wp:effectExtent l="0" t="0" r="0" b="381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Juniper A42.jpg"/>
                  <pic:cNvPicPr/>
                </pic:nvPicPr>
                <pic:blipFill>
                  <a:blip r:embed="rId1">
                    <a:extLst>
                      <a:ext uri="{28A0092B-C50C-407E-A947-70E740481C1C}">
                        <a14:useLocalDpi xmlns:a14="http://schemas.microsoft.com/office/drawing/2010/main" val="0"/>
                      </a:ext>
                    </a:extLst>
                  </a:blip>
                  <a:stretch>
                    <a:fillRect/>
                  </a:stretch>
                </pic:blipFill>
                <pic:spPr>
                  <a:xfrm>
                    <a:off x="0" y="0"/>
                    <a:ext cx="7524000" cy="885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F5CB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13C147A"/>
    <w:multiLevelType w:val="multilevel"/>
    <w:tmpl w:val="C7B851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708562F1"/>
    <w:multiLevelType w:val="hybridMultilevel"/>
    <w:tmpl w:val="FA96ED26"/>
    <w:lvl w:ilvl="0" w:tplc="72E07BCE">
      <w:start w:val="1"/>
      <w:numFmt w:val="bullet"/>
      <w:pStyle w:val="Bullets"/>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AEE"/>
    <w:rsid w:val="00003402"/>
    <w:rsid w:val="00007519"/>
    <w:rsid w:val="000136CD"/>
    <w:rsid w:val="00024B6B"/>
    <w:rsid w:val="000311D2"/>
    <w:rsid w:val="000314C1"/>
    <w:rsid w:val="00031FE4"/>
    <w:rsid w:val="0004082E"/>
    <w:rsid w:val="00047065"/>
    <w:rsid w:val="000518AF"/>
    <w:rsid w:val="00062F99"/>
    <w:rsid w:val="00071133"/>
    <w:rsid w:val="000B0852"/>
    <w:rsid w:val="000D5079"/>
    <w:rsid w:val="000F54D2"/>
    <w:rsid w:val="00101105"/>
    <w:rsid w:val="00104F93"/>
    <w:rsid w:val="00114A08"/>
    <w:rsid w:val="001226AF"/>
    <w:rsid w:val="001344F5"/>
    <w:rsid w:val="001360DB"/>
    <w:rsid w:val="00143C8C"/>
    <w:rsid w:val="00143CE0"/>
    <w:rsid w:val="0014700C"/>
    <w:rsid w:val="001740E9"/>
    <w:rsid w:val="00177433"/>
    <w:rsid w:val="0017793A"/>
    <w:rsid w:val="00181EFE"/>
    <w:rsid w:val="00186C35"/>
    <w:rsid w:val="001A0447"/>
    <w:rsid w:val="001A5318"/>
    <w:rsid w:val="001B442B"/>
    <w:rsid w:val="001E374E"/>
    <w:rsid w:val="001F05A8"/>
    <w:rsid w:val="001F34D7"/>
    <w:rsid w:val="001F6614"/>
    <w:rsid w:val="0020652D"/>
    <w:rsid w:val="002167E5"/>
    <w:rsid w:val="00245134"/>
    <w:rsid w:val="002466B8"/>
    <w:rsid w:val="0026089D"/>
    <w:rsid w:val="00267916"/>
    <w:rsid w:val="0027036D"/>
    <w:rsid w:val="00272763"/>
    <w:rsid w:val="0029570A"/>
    <w:rsid w:val="0029701E"/>
    <w:rsid w:val="002D4514"/>
    <w:rsid w:val="002E1219"/>
    <w:rsid w:val="002F041F"/>
    <w:rsid w:val="00301A02"/>
    <w:rsid w:val="00310D6E"/>
    <w:rsid w:val="00314B55"/>
    <w:rsid w:val="0033397A"/>
    <w:rsid w:val="0035300E"/>
    <w:rsid w:val="00375967"/>
    <w:rsid w:val="00383937"/>
    <w:rsid w:val="00387FB1"/>
    <w:rsid w:val="00387FD7"/>
    <w:rsid w:val="003A298A"/>
    <w:rsid w:val="003B04C6"/>
    <w:rsid w:val="003E00E9"/>
    <w:rsid w:val="003E0107"/>
    <w:rsid w:val="004668CD"/>
    <w:rsid w:val="00472C74"/>
    <w:rsid w:val="004810B6"/>
    <w:rsid w:val="00481DDE"/>
    <w:rsid w:val="00491383"/>
    <w:rsid w:val="00496E0C"/>
    <w:rsid w:val="004B58E5"/>
    <w:rsid w:val="004C2D31"/>
    <w:rsid w:val="004C60A5"/>
    <w:rsid w:val="004E2A97"/>
    <w:rsid w:val="004F325D"/>
    <w:rsid w:val="00515A3D"/>
    <w:rsid w:val="005353C3"/>
    <w:rsid w:val="0055132E"/>
    <w:rsid w:val="0056090A"/>
    <w:rsid w:val="00562CB9"/>
    <w:rsid w:val="00582D6F"/>
    <w:rsid w:val="005A1A3A"/>
    <w:rsid w:val="005A6D20"/>
    <w:rsid w:val="005B0203"/>
    <w:rsid w:val="005C3CEE"/>
    <w:rsid w:val="005C6501"/>
    <w:rsid w:val="005C7850"/>
    <w:rsid w:val="005D150F"/>
    <w:rsid w:val="005D6FA2"/>
    <w:rsid w:val="005E5D8F"/>
    <w:rsid w:val="005F200C"/>
    <w:rsid w:val="005F6148"/>
    <w:rsid w:val="006110EF"/>
    <w:rsid w:val="00615361"/>
    <w:rsid w:val="00650A99"/>
    <w:rsid w:val="00656677"/>
    <w:rsid w:val="00670969"/>
    <w:rsid w:val="006779E1"/>
    <w:rsid w:val="00680732"/>
    <w:rsid w:val="00680A3D"/>
    <w:rsid w:val="00690D6E"/>
    <w:rsid w:val="006A16A9"/>
    <w:rsid w:val="006B0972"/>
    <w:rsid w:val="006C58D9"/>
    <w:rsid w:val="006D5131"/>
    <w:rsid w:val="006F5836"/>
    <w:rsid w:val="00703C49"/>
    <w:rsid w:val="00706C96"/>
    <w:rsid w:val="0071335A"/>
    <w:rsid w:val="00717B9D"/>
    <w:rsid w:val="00721513"/>
    <w:rsid w:val="00724302"/>
    <w:rsid w:val="007346E6"/>
    <w:rsid w:val="00764D27"/>
    <w:rsid w:val="00766B46"/>
    <w:rsid w:val="007700E8"/>
    <w:rsid w:val="00774429"/>
    <w:rsid w:val="0079077F"/>
    <w:rsid w:val="00795A57"/>
    <w:rsid w:val="007A6720"/>
    <w:rsid w:val="007B1605"/>
    <w:rsid w:val="007B3D89"/>
    <w:rsid w:val="007B3FB6"/>
    <w:rsid w:val="007B4CA0"/>
    <w:rsid w:val="007B6AA8"/>
    <w:rsid w:val="007C46F8"/>
    <w:rsid w:val="007D1007"/>
    <w:rsid w:val="007E18C0"/>
    <w:rsid w:val="007F18CD"/>
    <w:rsid w:val="008010C9"/>
    <w:rsid w:val="00833C7B"/>
    <w:rsid w:val="00852879"/>
    <w:rsid w:val="00856B32"/>
    <w:rsid w:val="00861033"/>
    <w:rsid w:val="00873786"/>
    <w:rsid w:val="008741E3"/>
    <w:rsid w:val="008810F8"/>
    <w:rsid w:val="00897A4B"/>
    <w:rsid w:val="008F0AA6"/>
    <w:rsid w:val="008F3D55"/>
    <w:rsid w:val="008F7D9F"/>
    <w:rsid w:val="00904A30"/>
    <w:rsid w:val="00915107"/>
    <w:rsid w:val="00937B05"/>
    <w:rsid w:val="00956AB0"/>
    <w:rsid w:val="00957E9C"/>
    <w:rsid w:val="009615AE"/>
    <w:rsid w:val="009740B8"/>
    <w:rsid w:val="00991D56"/>
    <w:rsid w:val="00996D8C"/>
    <w:rsid w:val="009B1C13"/>
    <w:rsid w:val="009C59CD"/>
    <w:rsid w:val="009D1DB8"/>
    <w:rsid w:val="009E1EB7"/>
    <w:rsid w:val="009E2973"/>
    <w:rsid w:val="009E688A"/>
    <w:rsid w:val="009F322A"/>
    <w:rsid w:val="009F4C73"/>
    <w:rsid w:val="009F5539"/>
    <w:rsid w:val="00A01079"/>
    <w:rsid w:val="00A12104"/>
    <w:rsid w:val="00A16EF9"/>
    <w:rsid w:val="00A22F93"/>
    <w:rsid w:val="00A3103B"/>
    <w:rsid w:val="00A33536"/>
    <w:rsid w:val="00A631E9"/>
    <w:rsid w:val="00A75075"/>
    <w:rsid w:val="00A83BFF"/>
    <w:rsid w:val="00AB7D94"/>
    <w:rsid w:val="00AC2A92"/>
    <w:rsid w:val="00AC2F3F"/>
    <w:rsid w:val="00AD7C7C"/>
    <w:rsid w:val="00AE29D3"/>
    <w:rsid w:val="00AE6632"/>
    <w:rsid w:val="00AE6D8E"/>
    <w:rsid w:val="00B1318C"/>
    <w:rsid w:val="00B36BC1"/>
    <w:rsid w:val="00B40965"/>
    <w:rsid w:val="00B449C8"/>
    <w:rsid w:val="00B51BFD"/>
    <w:rsid w:val="00B626E2"/>
    <w:rsid w:val="00B87A87"/>
    <w:rsid w:val="00BA3919"/>
    <w:rsid w:val="00BB2FC0"/>
    <w:rsid w:val="00BC4175"/>
    <w:rsid w:val="00BE3AB2"/>
    <w:rsid w:val="00C01295"/>
    <w:rsid w:val="00C02F7D"/>
    <w:rsid w:val="00C06B32"/>
    <w:rsid w:val="00C145BD"/>
    <w:rsid w:val="00C24A82"/>
    <w:rsid w:val="00C2762B"/>
    <w:rsid w:val="00C45E75"/>
    <w:rsid w:val="00C461D2"/>
    <w:rsid w:val="00C47C8E"/>
    <w:rsid w:val="00C623DF"/>
    <w:rsid w:val="00C63D3E"/>
    <w:rsid w:val="00C77FBC"/>
    <w:rsid w:val="00C842DE"/>
    <w:rsid w:val="00CA3927"/>
    <w:rsid w:val="00CC1AD4"/>
    <w:rsid w:val="00CD45DC"/>
    <w:rsid w:val="00CE1A0C"/>
    <w:rsid w:val="00CF4AD3"/>
    <w:rsid w:val="00D00C29"/>
    <w:rsid w:val="00D10F44"/>
    <w:rsid w:val="00D13FB4"/>
    <w:rsid w:val="00D251CB"/>
    <w:rsid w:val="00D25229"/>
    <w:rsid w:val="00D33D55"/>
    <w:rsid w:val="00D417EB"/>
    <w:rsid w:val="00D42462"/>
    <w:rsid w:val="00D43EBA"/>
    <w:rsid w:val="00D464A9"/>
    <w:rsid w:val="00D50B64"/>
    <w:rsid w:val="00D7138E"/>
    <w:rsid w:val="00D7341A"/>
    <w:rsid w:val="00D93EFB"/>
    <w:rsid w:val="00DB090F"/>
    <w:rsid w:val="00DB3654"/>
    <w:rsid w:val="00DC0ACF"/>
    <w:rsid w:val="00DD54EC"/>
    <w:rsid w:val="00DF19DF"/>
    <w:rsid w:val="00DF1AA4"/>
    <w:rsid w:val="00DF7730"/>
    <w:rsid w:val="00E0218F"/>
    <w:rsid w:val="00E25AF5"/>
    <w:rsid w:val="00E45978"/>
    <w:rsid w:val="00E55060"/>
    <w:rsid w:val="00E60ACC"/>
    <w:rsid w:val="00E67120"/>
    <w:rsid w:val="00E77C44"/>
    <w:rsid w:val="00E9136B"/>
    <w:rsid w:val="00E93AEE"/>
    <w:rsid w:val="00EA0D32"/>
    <w:rsid w:val="00EC2941"/>
    <w:rsid w:val="00EC3951"/>
    <w:rsid w:val="00EC4304"/>
    <w:rsid w:val="00ED06B3"/>
    <w:rsid w:val="00ED7689"/>
    <w:rsid w:val="00EE28C0"/>
    <w:rsid w:val="00EE65D4"/>
    <w:rsid w:val="00EF2C24"/>
    <w:rsid w:val="00EF7ECF"/>
    <w:rsid w:val="00F41443"/>
    <w:rsid w:val="00F5525F"/>
    <w:rsid w:val="00F76B1A"/>
    <w:rsid w:val="00F77E16"/>
    <w:rsid w:val="00F87528"/>
    <w:rsid w:val="00FA0678"/>
    <w:rsid w:val="00FA40EE"/>
    <w:rsid w:val="00FC06B2"/>
    <w:rsid w:val="00FE7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7E697"/>
  <w15:chartTrackingRefBased/>
  <w15:docId w15:val="{0A00B3A2-74C4-40BC-A4F2-47E12A587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B64"/>
    <w:pPr>
      <w:suppressAutoHyphens/>
      <w:spacing w:before="160" w:after="160" w:line="250" w:lineRule="exact"/>
    </w:pPr>
    <w:rPr>
      <w:rFonts w:ascii="Franklin Gothic Book" w:hAnsi="Franklin Gothic Book" w:cs="Times New Roman (Body CS)"/>
      <w:sz w:val="20"/>
      <w14:ligatures w14:val="all"/>
    </w:rPr>
  </w:style>
  <w:style w:type="paragraph" w:styleId="Heading1">
    <w:name w:val="heading 1"/>
    <w:aliases w:val="Heading 20/25"/>
    <w:basedOn w:val="Normal"/>
    <w:next w:val="Normal"/>
    <w:link w:val="Heading1Char"/>
    <w:uiPriority w:val="9"/>
    <w:rsid w:val="005D6FA2"/>
    <w:pPr>
      <w:keepNext/>
      <w:keepLines/>
      <w:spacing w:before="240" w:after="200" w:line="500" w:lineRule="exact"/>
      <w:outlineLvl w:val="0"/>
    </w:pPr>
    <w:rPr>
      <w:rFonts w:eastAsiaTheme="majorEastAsia" w:cs="Times New Roman (Headings CS)"/>
      <w:b/>
      <w:caps/>
      <w:color w:val="1C1238"/>
      <w:sz w:val="40"/>
      <w:szCs w:val="32"/>
    </w:rPr>
  </w:style>
  <w:style w:type="paragraph" w:styleId="Heading2">
    <w:name w:val="heading 2"/>
    <w:basedOn w:val="Normal"/>
    <w:next w:val="Normal"/>
    <w:link w:val="Heading2Char"/>
    <w:uiPriority w:val="9"/>
    <w:semiHidden/>
    <w:unhideWhenUsed/>
    <w:qFormat/>
    <w:rsid w:val="00FE7D9F"/>
    <w:pPr>
      <w:keepNext/>
      <w:keepLines/>
      <w:spacing w:before="40" w:after="0"/>
      <w:outlineLvl w:val="1"/>
    </w:pPr>
    <w:rPr>
      <w:rFonts w:asciiTheme="majorHAnsi" w:eastAsiaTheme="majorEastAsia" w:hAnsiTheme="majorHAnsi" w:cstheme="majorBidi"/>
      <w:color w:val="140C2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Heading1"/>
    <w:autoRedefine/>
    <w:qFormat/>
    <w:rsid w:val="00957E9C"/>
    <w:rPr>
      <w:rFonts w:ascii="Franklin Gothic Medium" w:hAnsi="Franklin Gothic Medium"/>
      <w:b w:val="0"/>
    </w:rPr>
  </w:style>
  <w:style w:type="paragraph" w:styleId="Quote">
    <w:name w:val="Quote"/>
    <w:basedOn w:val="Normal"/>
    <w:next w:val="Normal"/>
    <w:link w:val="QuoteChar"/>
    <w:uiPriority w:val="29"/>
    <w:qFormat/>
    <w:rsid w:val="00650A99"/>
    <w:pPr>
      <w:framePr w:vSpace="100" w:wrap="around" w:vAnchor="text" w:hAnchor="text" w:y="1"/>
      <w:pBdr>
        <w:left w:val="single" w:sz="6" w:space="4" w:color="6E6299"/>
      </w:pBdr>
      <w:spacing w:before="100" w:after="100"/>
      <w:ind w:left="340" w:right="227"/>
    </w:pPr>
    <w:rPr>
      <w:i/>
      <w:iCs/>
      <w:color w:val="535353" w:themeColor="text1" w:themeTint="BF"/>
    </w:rPr>
  </w:style>
  <w:style w:type="character" w:styleId="Emphasis">
    <w:name w:val="Emphasis"/>
    <w:basedOn w:val="DefaultParagraphFont"/>
    <w:uiPriority w:val="20"/>
    <w:qFormat/>
    <w:rsid w:val="00957E9C"/>
    <w:rPr>
      <w:rFonts w:ascii="Franklin Gothic Book" w:hAnsi="Franklin Gothic Book"/>
      <w:b w:val="0"/>
      <w:i/>
      <w:iCs/>
    </w:rPr>
  </w:style>
  <w:style w:type="character" w:styleId="Strong">
    <w:name w:val="Strong"/>
    <w:basedOn w:val="DefaultParagraphFont"/>
    <w:uiPriority w:val="22"/>
    <w:qFormat/>
    <w:rsid w:val="00957E9C"/>
    <w:rPr>
      <w:rFonts w:ascii="Franklin Gothic Book" w:hAnsi="Franklin Gothic Book"/>
      <w:b/>
      <w:bCs/>
    </w:rPr>
  </w:style>
  <w:style w:type="character" w:customStyle="1" w:styleId="Heading1Char">
    <w:name w:val="Heading 1 Char"/>
    <w:aliases w:val="Heading 20/25 Char"/>
    <w:basedOn w:val="DefaultParagraphFont"/>
    <w:link w:val="Heading1"/>
    <w:uiPriority w:val="9"/>
    <w:rsid w:val="005D6FA2"/>
    <w:rPr>
      <w:rFonts w:ascii="Aaux Next" w:eastAsiaTheme="majorEastAsia" w:hAnsi="Aaux Next" w:cs="Times New Roman (Headings CS)"/>
      <w:b/>
      <w:caps/>
      <w:color w:val="1C1238"/>
      <w:sz w:val="40"/>
      <w:szCs w:val="32"/>
      <w14:ligatures w14:val="all"/>
    </w:rPr>
  </w:style>
  <w:style w:type="paragraph" w:styleId="NormalWeb">
    <w:name w:val="Normal (Web)"/>
    <w:basedOn w:val="Normal"/>
    <w:uiPriority w:val="99"/>
    <w:semiHidden/>
    <w:unhideWhenUsed/>
    <w:rsid w:val="00B626E2"/>
    <w:pPr>
      <w:spacing w:before="100" w:beforeAutospacing="1" w:after="100" w:afterAutospacing="1" w:line="240" w:lineRule="auto"/>
    </w:pPr>
    <w:rPr>
      <w:rFonts w:ascii="Times New Roman" w:eastAsia="Times New Roman" w:hAnsi="Times New Roman" w:cs="Times New Roman"/>
      <w:sz w:val="24"/>
      <w:lang w:eastAsia="en-GB"/>
      <w14:ligatures w14:val="none"/>
    </w:rPr>
  </w:style>
  <w:style w:type="paragraph" w:styleId="NoSpacing">
    <w:name w:val="No Spacing"/>
    <w:uiPriority w:val="1"/>
    <w:rsid w:val="00B626E2"/>
    <w:rPr>
      <w:rFonts w:ascii="Aaux Next" w:hAnsi="Aaux Next" w:cs="Times New Roman (Body CS)"/>
      <w:sz w:val="20"/>
      <w14:ligatures w14:val="all"/>
    </w:rPr>
  </w:style>
  <w:style w:type="paragraph" w:customStyle="1" w:styleId="Sub-heading">
    <w:name w:val="Sub-heading"/>
    <w:basedOn w:val="Heading"/>
    <w:autoRedefine/>
    <w:qFormat/>
    <w:rsid w:val="00143CE0"/>
    <w:pPr>
      <w:spacing w:after="160" w:line="400" w:lineRule="exact"/>
    </w:pPr>
    <w:rPr>
      <w:rFonts w:eastAsia="Arial Unicode MS"/>
      <w:caps w:val="0"/>
      <w:color w:val="2C1B57" w:themeColor="accent1" w:themeTint="E6"/>
      <w:sz w:val="28"/>
      <w:szCs w:val="30"/>
    </w:rPr>
  </w:style>
  <w:style w:type="paragraph" w:customStyle="1" w:styleId="Normal-Bold">
    <w:name w:val="Normal-Bold"/>
    <w:basedOn w:val="Normal"/>
    <w:rsid w:val="005F6148"/>
    <w:rPr>
      <w:b/>
    </w:rPr>
  </w:style>
  <w:style w:type="character" w:customStyle="1" w:styleId="QuoteChar">
    <w:name w:val="Quote Char"/>
    <w:basedOn w:val="DefaultParagraphFont"/>
    <w:link w:val="Quote"/>
    <w:uiPriority w:val="29"/>
    <w:rsid w:val="00650A99"/>
    <w:rPr>
      <w:rFonts w:ascii="Aaux Next" w:hAnsi="Aaux Next" w:cs="Times New Roman (Body CS)"/>
      <w:i/>
      <w:iCs/>
      <w:color w:val="535353" w:themeColor="text1" w:themeTint="BF"/>
      <w:sz w:val="20"/>
      <w14:ligatures w14:val="all"/>
    </w:rPr>
  </w:style>
  <w:style w:type="paragraph" w:styleId="Header">
    <w:name w:val="header"/>
    <w:basedOn w:val="Normal"/>
    <w:link w:val="HeaderChar"/>
    <w:uiPriority w:val="99"/>
    <w:unhideWhenUsed/>
    <w:rsid w:val="00EE65D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E65D4"/>
    <w:rPr>
      <w:rFonts w:ascii="Aaux Next" w:hAnsi="Aaux Next" w:cs="Times New Roman (Body CS)"/>
      <w:sz w:val="20"/>
      <w14:ligatures w14:val="all"/>
    </w:rPr>
  </w:style>
  <w:style w:type="paragraph" w:customStyle="1" w:styleId="Bullets">
    <w:name w:val="Bullets"/>
    <w:basedOn w:val="Normal"/>
    <w:autoRedefine/>
    <w:qFormat/>
    <w:rsid w:val="00957E9C"/>
    <w:pPr>
      <w:numPr>
        <w:numId w:val="1"/>
      </w:numPr>
    </w:pPr>
  </w:style>
  <w:style w:type="paragraph" w:styleId="Footer">
    <w:name w:val="footer"/>
    <w:basedOn w:val="Normal"/>
    <w:link w:val="FooterChar"/>
    <w:uiPriority w:val="99"/>
    <w:unhideWhenUsed/>
    <w:rsid w:val="00C47C8E"/>
    <w:pPr>
      <w:tabs>
        <w:tab w:val="center" w:pos="4513"/>
        <w:tab w:val="right" w:pos="9026"/>
      </w:tabs>
      <w:spacing w:before="0" w:after="0" w:line="240" w:lineRule="auto"/>
    </w:pPr>
    <w:rPr>
      <w:color w:val="696969"/>
    </w:rPr>
  </w:style>
  <w:style w:type="character" w:customStyle="1" w:styleId="FooterChar">
    <w:name w:val="Footer Char"/>
    <w:basedOn w:val="DefaultParagraphFont"/>
    <w:link w:val="Footer"/>
    <w:uiPriority w:val="99"/>
    <w:rsid w:val="00C47C8E"/>
    <w:rPr>
      <w:rFonts w:ascii="Aaux Next" w:hAnsi="Aaux Next" w:cs="Times New Roman (Body CS)"/>
      <w:color w:val="696969"/>
      <w:sz w:val="20"/>
      <w14:ligatures w14:val="all"/>
    </w:rPr>
  </w:style>
  <w:style w:type="paragraph" w:customStyle="1" w:styleId="Letter-AddressDate">
    <w:name w:val="Letter - Address &amp; Date"/>
    <w:basedOn w:val="NoSpacing"/>
    <w:autoRedefine/>
    <w:qFormat/>
    <w:rsid w:val="00957E9C"/>
    <w:pPr>
      <w:jc w:val="right"/>
    </w:pPr>
    <w:rPr>
      <w:rFonts w:ascii="Franklin Gothic Book" w:hAnsi="Franklin Gothic Book"/>
    </w:rPr>
  </w:style>
  <w:style w:type="paragraph" w:customStyle="1" w:styleId="Letter-Recipient">
    <w:name w:val="Letter - Recipient"/>
    <w:basedOn w:val="Letter-AddressDate"/>
    <w:autoRedefine/>
    <w:qFormat/>
    <w:rsid w:val="00680A3D"/>
    <w:pPr>
      <w:jc w:val="left"/>
    </w:pPr>
  </w:style>
  <w:style w:type="paragraph" w:styleId="BalloonText">
    <w:name w:val="Balloon Text"/>
    <w:basedOn w:val="Normal"/>
    <w:link w:val="BalloonTextChar"/>
    <w:uiPriority w:val="99"/>
    <w:semiHidden/>
    <w:unhideWhenUsed/>
    <w:rsid w:val="00D42462"/>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2462"/>
    <w:rPr>
      <w:rFonts w:ascii="Times New Roman" w:hAnsi="Times New Roman" w:cs="Times New Roman"/>
      <w:sz w:val="18"/>
      <w:szCs w:val="18"/>
      <w14:ligatures w14:val="all"/>
    </w:rPr>
  </w:style>
  <w:style w:type="paragraph" w:customStyle="1" w:styleId="Body-Copy10125">
    <w:name w:val="Body-Copy 10/12.5"/>
    <w:basedOn w:val="Normal"/>
    <w:uiPriority w:val="99"/>
    <w:rsid w:val="00C47C8E"/>
    <w:pPr>
      <w:keepLines/>
      <w:autoSpaceDE w:val="0"/>
      <w:autoSpaceDN w:val="0"/>
      <w:adjustRightInd w:val="0"/>
      <w:spacing w:before="0" w:after="120" w:line="250" w:lineRule="atLeast"/>
      <w:jc w:val="both"/>
      <w:textAlignment w:val="center"/>
    </w:pPr>
    <w:rPr>
      <w:rFonts w:ascii="Aaux Next Regular" w:hAnsi="Aaux Next Regular" w:cs="Aaux Next Regular"/>
      <w:color w:val="000000"/>
      <w:szCs w:val="20"/>
      <w14:ligatures w14:val="none"/>
    </w:rPr>
  </w:style>
  <w:style w:type="table" w:styleId="TableGrid">
    <w:name w:val="Table Grid"/>
    <w:basedOn w:val="TableNormal"/>
    <w:uiPriority w:val="39"/>
    <w:rsid w:val="00062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Sub-heading"/>
    <w:autoRedefine/>
    <w:qFormat/>
    <w:rsid w:val="001344F5"/>
    <w:rPr>
      <w:color w:val="FFFFFF" w:themeColor="background1"/>
      <w:sz w:val="24"/>
      <w:szCs w:val="28"/>
    </w:rPr>
  </w:style>
  <w:style w:type="paragraph" w:customStyle="1" w:styleId="TextboxText">
    <w:name w:val="Textbox Text"/>
    <w:basedOn w:val="Sub-heading"/>
    <w:autoRedefine/>
    <w:qFormat/>
    <w:rsid w:val="00AE6D8E"/>
    <w:pPr>
      <w:spacing w:before="80" w:after="80" w:line="300" w:lineRule="exact"/>
    </w:pPr>
    <w:rPr>
      <w:color w:val="FFFFFF" w:themeColor="background1" w:themeTint="E6"/>
      <w:sz w:val="24"/>
    </w:rPr>
  </w:style>
  <w:style w:type="character" w:styleId="Hyperlink">
    <w:name w:val="Hyperlink"/>
    <w:basedOn w:val="DefaultParagraphFont"/>
    <w:unhideWhenUsed/>
    <w:rsid w:val="007C46F8"/>
    <w:rPr>
      <w:color w:val="262626" w:themeColor="hyperlink"/>
      <w:u w:val="single"/>
    </w:rPr>
  </w:style>
  <w:style w:type="character" w:customStyle="1" w:styleId="UnresolvedMention">
    <w:name w:val="Unresolved Mention"/>
    <w:basedOn w:val="DefaultParagraphFont"/>
    <w:uiPriority w:val="99"/>
    <w:semiHidden/>
    <w:unhideWhenUsed/>
    <w:rsid w:val="007C46F8"/>
    <w:rPr>
      <w:color w:val="605E5C"/>
      <w:shd w:val="clear" w:color="auto" w:fill="E1DFDD"/>
    </w:rPr>
  </w:style>
  <w:style w:type="paragraph" w:styleId="ListParagraph">
    <w:name w:val="List Paragraph"/>
    <w:basedOn w:val="Normal"/>
    <w:uiPriority w:val="34"/>
    <w:qFormat/>
    <w:rsid w:val="00D50B64"/>
    <w:pPr>
      <w:ind w:left="720"/>
      <w:contextualSpacing/>
    </w:pPr>
  </w:style>
  <w:style w:type="character" w:styleId="FollowedHyperlink">
    <w:name w:val="FollowedHyperlink"/>
    <w:basedOn w:val="DefaultParagraphFont"/>
    <w:uiPriority w:val="99"/>
    <w:semiHidden/>
    <w:unhideWhenUsed/>
    <w:rsid w:val="00B87A87"/>
    <w:rPr>
      <w:color w:val="1A1A1A" w:themeColor="followedHyperlink"/>
      <w:u w:val="single"/>
    </w:rPr>
  </w:style>
  <w:style w:type="character" w:styleId="CommentReference">
    <w:name w:val="annotation reference"/>
    <w:basedOn w:val="DefaultParagraphFont"/>
    <w:uiPriority w:val="99"/>
    <w:semiHidden/>
    <w:unhideWhenUsed/>
    <w:rsid w:val="009E688A"/>
    <w:rPr>
      <w:sz w:val="16"/>
      <w:szCs w:val="16"/>
    </w:rPr>
  </w:style>
  <w:style w:type="paragraph" w:styleId="CommentText">
    <w:name w:val="annotation text"/>
    <w:basedOn w:val="Normal"/>
    <w:link w:val="CommentTextChar"/>
    <w:uiPriority w:val="99"/>
    <w:unhideWhenUsed/>
    <w:rsid w:val="009E688A"/>
    <w:pPr>
      <w:spacing w:line="240" w:lineRule="auto"/>
    </w:pPr>
    <w:rPr>
      <w:szCs w:val="20"/>
    </w:rPr>
  </w:style>
  <w:style w:type="character" w:customStyle="1" w:styleId="CommentTextChar">
    <w:name w:val="Comment Text Char"/>
    <w:basedOn w:val="DefaultParagraphFont"/>
    <w:link w:val="CommentText"/>
    <w:uiPriority w:val="99"/>
    <w:rsid w:val="009E688A"/>
    <w:rPr>
      <w:rFonts w:ascii="Franklin Gothic Book" w:hAnsi="Franklin Gothic Book" w:cs="Times New Roman (Body CS)"/>
      <w:sz w:val="20"/>
      <w:szCs w:val="20"/>
      <w14:ligatures w14:val="all"/>
    </w:rPr>
  </w:style>
  <w:style w:type="paragraph" w:styleId="CommentSubject">
    <w:name w:val="annotation subject"/>
    <w:basedOn w:val="CommentText"/>
    <w:next w:val="CommentText"/>
    <w:link w:val="CommentSubjectChar"/>
    <w:uiPriority w:val="99"/>
    <w:semiHidden/>
    <w:unhideWhenUsed/>
    <w:rsid w:val="009E688A"/>
    <w:rPr>
      <w:b/>
      <w:bCs/>
    </w:rPr>
  </w:style>
  <w:style w:type="character" w:customStyle="1" w:styleId="CommentSubjectChar">
    <w:name w:val="Comment Subject Char"/>
    <w:basedOn w:val="CommentTextChar"/>
    <w:link w:val="CommentSubject"/>
    <w:uiPriority w:val="99"/>
    <w:semiHidden/>
    <w:rsid w:val="009E688A"/>
    <w:rPr>
      <w:rFonts w:ascii="Franklin Gothic Book" w:hAnsi="Franklin Gothic Book" w:cs="Times New Roman (Body CS)"/>
      <w:b/>
      <w:bCs/>
      <w:sz w:val="20"/>
      <w:szCs w:val="20"/>
      <w14:ligatures w14:val="all"/>
    </w:rPr>
  </w:style>
  <w:style w:type="character" w:customStyle="1" w:styleId="Heading2Char">
    <w:name w:val="Heading 2 Char"/>
    <w:basedOn w:val="DefaultParagraphFont"/>
    <w:link w:val="Heading2"/>
    <w:uiPriority w:val="9"/>
    <w:semiHidden/>
    <w:rsid w:val="00FE7D9F"/>
    <w:rPr>
      <w:rFonts w:asciiTheme="majorHAnsi" w:eastAsiaTheme="majorEastAsia" w:hAnsiTheme="majorHAnsi" w:cstheme="majorBidi"/>
      <w:color w:val="140C28" w:themeColor="accent1" w:themeShade="BF"/>
      <w:sz w:val="26"/>
      <w:szCs w:val="26"/>
      <w14:ligatures w14:val="a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66147">
      <w:bodyDiv w:val="1"/>
      <w:marLeft w:val="0"/>
      <w:marRight w:val="0"/>
      <w:marTop w:val="0"/>
      <w:marBottom w:val="0"/>
      <w:divBdr>
        <w:top w:val="none" w:sz="0" w:space="0" w:color="auto"/>
        <w:left w:val="none" w:sz="0" w:space="0" w:color="auto"/>
        <w:bottom w:val="none" w:sz="0" w:space="0" w:color="auto"/>
        <w:right w:val="none" w:sz="0" w:space="0" w:color="auto"/>
      </w:divBdr>
    </w:div>
    <w:div w:id="622931825">
      <w:bodyDiv w:val="1"/>
      <w:marLeft w:val="0"/>
      <w:marRight w:val="0"/>
      <w:marTop w:val="0"/>
      <w:marBottom w:val="0"/>
      <w:divBdr>
        <w:top w:val="none" w:sz="0" w:space="0" w:color="auto"/>
        <w:left w:val="none" w:sz="0" w:space="0" w:color="auto"/>
        <w:bottom w:val="none" w:sz="0" w:space="0" w:color="auto"/>
        <w:right w:val="none" w:sz="0" w:space="0" w:color="auto"/>
      </w:divBdr>
    </w:div>
    <w:div w:id="975142403">
      <w:bodyDiv w:val="1"/>
      <w:marLeft w:val="0"/>
      <w:marRight w:val="0"/>
      <w:marTop w:val="0"/>
      <w:marBottom w:val="0"/>
      <w:divBdr>
        <w:top w:val="none" w:sz="0" w:space="0" w:color="auto"/>
        <w:left w:val="none" w:sz="0" w:space="0" w:color="auto"/>
        <w:bottom w:val="none" w:sz="0" w:space="0" w:color="auto"/>
        <w:right w:val="none" w:sz="0" w:space="0" w:color="auto"/>
      </w:divBdr>
    </w:div>
    <w:div w:id="1133861576">
      <w:bodyDiv w:val="1"/>
      <w:marLeft w:val="0"/>
      <w:marRight w:val="0"/>
      <w:marTop w:val="0"/>
      <w:marBottom w:val="0"/>
      <w:divBdr>
        <w:top w:val="none" w:sz="0" w:space="0" w:color="auto"/>
        <w:left w:val="none" w:sz="0" w:space="0" w:color="auto"/>
        <w:bottom w:val="none" w:sz="0" w:space="0" w:color="auto"/>
        <w:right w:val="none" w:sz="0" w:space="0" w:color="auto"/>
      </w:divBdr>
    </w:div>
    <w:div w:id="1135637690">
      <w:bodyDiv w:val="1"/>
      <w:marLeft w:val="0"/>
      <w:marRight w:val="0"/>
      <w:marTop w:val="0"/>
      <w:marBottom w:val="0"/>
      <w:divBdr>
        <w:top w:val="none" w:sz="0" w:space="0" w:color="auto"/>
        <w:left w:val="none" w:sz="0" w:space="0" w:color="auto"/>
        <w:bottom w:val="none" w:sz="0" w:space="0" w:color="auto"/>
        <w:right w:val="none" w:sz="0" w:space="0" w:color="auto"/>
      </w:divBdr>
    </w:div>
    <w:div w:id="117056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chool-governance-update/academy-trusts-school-governance-update-july-202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arly.quickcrockford@junipereducation.org" TargetMode="External"/><Relationship Id="rId17" Type="http://schemas.openxmlformats.org/officeDocument/2006/relationships/hyperlink" Target="https://www.gov.uk/government/publications/academy-trust-financial-management-good-practice-guides/internal-scrutiny-in-academy-trusts?" TargetMode="External"/><Relationship Id="rId2" Type="http://schemas.openxmlformats.org/officeDocument/2006/relationships/customXml" Target="../customXml/item2.xml"/><Relationship Id="rId16" Type="http://schemas.openxmlformats.org/officeDocument/2006/relationships/hyperlink" Target="https://assets.publishing.service.gov.uk/media/61018f99e90e0703b58e8c79/Academy_trust_handbook_2022.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integrated-curriculum-and-financial-planning-icfp" TargetMode="External"/><Relationship Id="rId5" Type="http://schemas.openxmlformats.org/officeDocument/2006/relationships/numbering" Target="numbering.xml"/><Relationship Id="rId15" Type="http://schemas.openxmlformats.org/officeDocument/2006/relationships/hyperlink" Target="mailto:carly.quickcrockford@junipereducation.org"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csc.gov.uk/information/school-governor-question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Smith\Juniper\Education%20Finance%20-%20Documents\ICE\2-Internal%20Scrutiny%202022-2023\Academy\Summary\Internal%20Scrutiny%20Report%202022-23.dotx" TargetMode="External"/></Relationships>
</file>

<file path=word/theme/theme1.xml><?xml version="1.0" encoding="utf-8"?>
<a:theme xmlns:a="http://schemas.openxmlformats.org/drawingml/2006/main" name="Juniper">
  <a:themeElements>
    <a:clrScheme name="Juniper">
      <a:dk1>
        <a:srgbClr val="1A1A1A"/>
      </a:dk1>
      <a:lt1>
        <a:srgbClr val="FFFFFF"/>
      </a:lt1>
      <a:dk2>
        <a:srgbClr val="000000"/>
      </a:dk2>
      <a:lt2>
        <a:srgbClr val="FFFFFF"/>
      </a:lt2>
      <a:accent1>
        <a:srgbClr val="1C1137"/>
      </a:accent1>
      <a:accent2>
        <a:srgbClr val="6D6299"/>
      </a:accent2>
      <a:accent3>
        <a:srgbClr val="2C7E3C"/>
      </a:accent3>
      <a:accent4>
        <a:srgbClr val="3C2E59"/>
      </a:accent4>
      <a:accent5>
        <a:srgbClr val="696969"/>
      </a:accent5>
      <a:accent6>
        <a:srgbClr val="569A6B"/>
      </a:accent6>
      <a:hlink>
        <a:srgbClr val="262626"/>
      </a:hlink>
      <a:folHlink>
        <a:srgbClr val="1A1A1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5348BE0B7D204C911C6DABAD235E65" ma:contentTypeVersion="15" ma:contentTypeDescription="Create a new document." ma:contentTypeScope="" ma:versionID="ac661dd5bdd1fd8e46e8c265db0404f5">
  <xsd:schema xmlns:xsd="http://www.w3.org/2001/XMLSchema" xmlns:xs="http://www.w3.org/2001/XMLSchema" xmlns:p="http://schemas.microsoft.com/office/2006/metadata/properties" xmlns:ns2="628d6c19-b72a-44b0-9565-f0f2931ba338" xmlns:ns3="4893dd02-7383-45c5-8ef5-7d64b2dfba00" targetNamespace="http://schemas.microsoft.com/office/2006/metadata/properties" ma:root="true" ma:fieldsID="421560ac765ab475790f5e5d0ffb9d24" ns2:_="" ns3:_="">
    <xsd:import namespace="628d6c19-b72a-44b0-9565-f0f2931ba338"/>
    <xsd:import namespace="4893dd02-7383-45c5-8ef5-7d64b2dfba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d6c19-b72a-44b0-9565-f0f2931ba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989a639-ae39-408d-b32b-1540311116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93dd02-7383-45c5-8ef5-7d64b2dfba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cb5a50b-01cc-43bc-8887-0e0d9f3789d7}" ma:internalName="TaxCatchAll" ma:showField="CatchAllData" ma:web="4893dd02-7383-45c5-8ef5-7d64b2dfba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28d6c19-b72a-44b0-9565-f0f2931ba338">
      <Terms xmlns="http://schemas.microsoft.com/office/infopath/2007/PartnerControls"/>
    </lcf76f155ced4ddcb4097134ff3c332f>
    <TaxCatchAll xmlns="4893dd02-7383-45c5-8ef5-7d64b2dfba0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73192-75F4-4A44-92D6-92D14F76E557}">
  <ds:schemaRefs>
    <ds:schemaRef ds:uri="http://schemas.microsoft.com/sharepoint/v3/contenttype/forms"/>
  </ds:schemaRefs>
</ds:datastoreItem>
</file>

<file path=customXml/itemProps2.xml><?xml version="1.0" encoding="utf-8"?>
<ds:datastoreItem xmlns:ds="http://schemas.openxmlformats.org/officeDocument/2006/customXml" ds:itemID="{C7088574-819F-4E75-B656-D6D6EE48B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d6c19-b72a-44b0-9565-f0f2931ba338"/>
    <ds:schemaRef ds:uri="4893dd02-7383-45c5-8ef5-7d64b2dfb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7A87A6-6E55-48FF-896A-E089197B53F2}">
  <ds:schemaRefs>
    <ds:schemaRef ds:uri="http://schemas.microsoft.com/office/2006/metadata/properties"/>
    <ds:schemaRef ds:uri="http://schemas.microsoft.com/office/infopath/2007/PartnerControls"/>
    <ds:schemaRef ds:uri="628d6c19-b72a-44b0-9565-f0f2931ba338"/>
    <ds:schemaRef ds:uri="4893dd02-7383-45c5-8ef5-7d64b2dfba00"/>
  </ds:schemaRefs>
</ds:datastoreItem>
</file>

<file path=customXml/itemProps4.xml><?xml version="1.0" encoding="utf-8"?>
<ds:datastoreItem xmlns:ds="http://schemas.openxmlformats.org/officeDocument/2006/customXml" ds:itemID="{D1FA01FF-B52F-460C-969A-4698E09DE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Internal Scrutiny Report 2022-23</Template>
  <TotalTime>0</TotalTime>
  <Pages>12</Pages>
  <Words>1561</Words>
  <Characters>8899</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10440</CharactersWithSpaces>
  <SharedDoc>false</SharedDoc>
  <HLinks>
    <vt:vector size="48" baseType="variant">
      <vt:variant>
        <vt:i4>5177415</vt:i4>
      </vt:variant>
      <vt:variant>
        <vt:i4>21</vt:i4>
      </vt:variant>
      <vt:variant>
        <vt:i4>0</vt:i4>
      </vt:variant>
      <vt:variant>
        <vt:i4>5</vt:i4>
      </vt:variant>
      <vt:variant>
        <vt:lpwstr>https://www.gov.uk/government/publications/academy-trust-financial-management-good-practice-guides/internal-scrutiny-in-academy-trusts?</vt:lpwstr>
      </vt:variant>
      <vt:variant>
        <vt:lpwstr>annex-1</vt:lpwstr>
      </vt:variant>
      <vt:variant>
        <vt:i4>3342411</vt:i4>
      </vt:variant>
      <vt:variant>
        <vt:i4>18</vt:i4>
      </vt:variant>
      <vt:variant>
        <vt:i4>0</vt:i4>
      </vt:variant>
      <vt:variant>
        <vt:i4>5</vt:i4>
      </vt:variant>
      <vt:variant>
        <vt:lpwstr>https://assets.publishing.service.gov.uk/media/61018f99e90e0703b58e8c79/Academy_trust_handbook_2022.pdf</vt:lpwstr>
      </vt:variant>
      <vt:variant>
        <vt:lpwstr/>
      </vt:variant>
      <vt:variant>
        <vt:i4>3866709</vt:i4>
      </vt:variant>
      <vt:variant>
        <vt:i4>15</vt:i4>
      </vt:variant>
      <vt:variant>
        <vt:i4>0</vt:i4>
      </vt:variant>
      <vt:variant>
        <vt:i4>5</vt:i4>
      </vt:variant>
      <vt:variant>
        <vt:lpwstr>mailto:carly.quickcrockford@junipereducation.org</vt:lpwstr>
      </vt:variant>
      <vt:variant>
        <vt:lpwstr/>
      </vt:variant>
      <vt:variant>
        <vt:i4>1769474</vt:i4>
      </vt:variant>
      <vt:variant>
        <vt:i4>12</vt:i4>
      </vt:variant>
      <vt:variant>
        <vt:i4>0</vt:i4>
      </vt:variant>
      <vt:variant>
        <vt:i4>5</vt:i4>
      </vt:variant>
      <vt:variant>
        <vt:lpwstr>https://www.ncsc.gov.uk/information/school-governor-questions</vt:lpwstr>
      </vt:variant>
      <vt:variant>
        <vt:lpwstr/>
      </vt:variant>
      <vt:variant>
        <vt:i4>5373964</vt:i4>
      </vt:variant>
      <vt:variant>
        <vt:i4>9</vt:i4>
      </vt:variant>
      <vt:variant>
        <vt:i4>0</vt:i4>
      </vt:variant>
      <vt:variant>
        <vt:i4>5</vt:i4>
      </vt:variant>
      <vt:variant>
        <vt:lpwstr>https://www.gov.uk/government/publications/school-governance-update/academy-trusts-school-governance-update-july-2020</vt:lpwstr>
      </vt:variant>
      <vt:variant>
        <vt:lpwstr>new-guidance-on-managing-cyber-security-risks-in-your-school</vt:lpwstr>
      </vt:variant>
      <vt:variant>
        <vt:i4>3866709</vt:i4>
      </vt:variant>
      <vt:variant>
        <vt:i4>6</vt:i4>
      </vt:variant>
      <vt:variant>
        <vt:i4>0</vt:i4>
      </vt:variant>
      <vt:variant>
        <vt:i4>5</vt:i4>
      </vt:variant>
      <vt:variant>
        <vt:lpwstr>mailto:carly.quickcrockford@junipereducation.org</vt:lpwstr>
      </vt:variant>
      <vt:variant>
        <vt:lpwstr/>
      </vt:variant>
      <vt:variant>
        <vt:i4>1703966</vt:i4>
      </vt:variant>
      <vt:variant>
        <vt:i4>3</vt:i4>
      </vt:variant>
      <vt:variant>
        <vt:i4>0</vt:i4>
      </vt:variant>
      <vt:variant>
        <vt:i4>5</vt:i4>
      </vt:variant>
      <vt:variant>
        <vt:lpwstr>https://www.gov.uk/guidance/integrated-curriculum-and-financial-planning-icfp</vt:lpwstr>
      </vt:variant>
      <vt:variant>
        <vt:lpwstr/>
      </vt:variant>
      <vt:variant>
        <vt:i4>5439504</vt:i4>
      </vt:variant>
      <vt:variant>
        <vt:i4>0</vt:i4>
      </vt:variant>
      <vt:variant>
        <vt:i4>0</vt:i4>
      </vt:variant>
      <vt:variant>
        <vt:i4>5</vt:i4>
      </vt:variant>
      <vt:variant>
        <vt:lpwstr>http://www.gov.uk/guidance/what-academies-free-schools-and-colleges-should-publish-online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Smith</dc:creator>
  <cp:keywords/>
  <dc:description/>
  <cp:lastModifiedBy>S.Roberts</cp:lastModifiedBy>
  <cp:revision>2</cp:revision>
  <cp:lastPrinted>2020-07-16T00:15:00Z</cp:lastPrinted>
  <dcterms:created xsi:type="dcterms:W3CDTF">2023-06-22T14:01:00Z</dcterms:created>
  <dcterms:modified xsi:type="dcterms:W3CDTF">2023-06-22T14:01:00Z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0x010100FF5348BE0B7D204C911C6DABAD235E65</vt:lpwstr>
  </property>
  <property fmtid="{D5CDD505-2E9C-101B-9397-08002B2CF9AE}" pid="3" name="MediaServiceImageTags">
    <vt:lpwstr/>
  </property>
</Properties>
</file>