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18A7"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6CF5980E"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24D745AD" w14:textId="77777777" w:rsid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7198C999" w14:textId="77777777" w:rsidR="005F200C" w:rsidRP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0D7AE4ED" w14:textId="77777777" w:rsidR="00DB3654" w:rsidRDefault="00DB3654" w:rsidP="004E2A97">
      <w:pPr>
        <w:tabs>
          <w:tab w:val="left" w:pos="11907"/>
          <w:tab w:val="left" w:pos="13125"/>
          <w:tab w:val="left" w:pos="14160"/>
        </w:tabs>
        <w:suppressAutoHyphens w:val="0"/>
        <w:spacing w:before="0" w:after="0" w:line="240" w:lineRule="auto"/>
        <w:ind w:right="1985"/>
        <w:rPr>
          <w:rFonts w:ascii="Franklin Gothic Medium" w:eastAsia="Arial Unicode MS" w:hAnsi="Franklin Gothic Medium" w:cs="Arial"/>
          <w:bCs/>
          <w:color w:val="3C3060"/>
          <w:sz w:val="72"/>
          <w:szCs w:val="72"/>
          <w14:ligatures w14:val="none"/>
        </w:rPr>
      </w:pPr>
      <w:r>
        <w:rPr>
          <w:rFonts w:ascii="Franklin Gothic Medium" w:eastAsia="Arial Unicode MS" w:hAnsi="Franklin Gothic Medium" w:cs="Arial"/>
          <w:bCs/>
          <w:color w:val="3C3060"/>
          <w:sz w:val="72"/>
          <w:szCs w:val="72"/>
          <w14:ligatures w14:val="none"/>
        </w:rPr>
        <w:t>I</w:t>
      </w:r>
      <w:r w:rsidR="00D50B64" w:rsidRPr="005F200C">
        <w:rPr>
          <w:rFonts w:ascii="Franklin Gothic Medium" w:eastAsia="Arial Unicode MS" w:hAnsi="Franklin Gothic Medium" w:cs="Arial"/>
          <w:bCs/>
          <w:color w:val="3C3060"/>
          <w:sz w:val="72"/>
          <w:szCs w:val="72"/>
          <w14:ligatures w14:val="none"/>
        </w:rPr>
        <w:t>nternal Scrutiny Report</w:t>
      </w:r>
      <w:r w:rsidR="004E2A97">
        <w:rPr>
          <w:rFonts w:ascii="Franklin Gothic Medium" w:eastAsia="Arial Unicode MS" w:hAnsi="Franklin Gothic Medium" w:cs="Arial"/>
          <w:bCs/>
          <w:color w:val="3C3060"/>
          <w:sz w:val="72"/>
          <w:szCs w:val="72"/>
          <w14:ligatures w14:val="none"/>
        </w:rPr>
        <w:t xml:space="preserve"> </w:t>
      </w:r>
    </w:p>
    <w:p w14:paraId="3EAD12C4" w14:textId="77777777" w:rsidR="00D50B64" w:rsidRPr="00FA0678" w:rsidRDefault="0068502A" w:rsidP="004E2A97">
      <w:pPr>
        <w:tabs>
          <w:tab w:val="left" w:pos="11907"/>
          <w:tab w:val="left" w:pos="13125"/>
          <w:tab w:val="left" w:pos="14160"/>
        </w:tabs>
        <w:suppressAutoHyphens w:val="0"/>
        <w:spacing w:before="0" w:after="0" w:line="240" w:lineRule="auto"/>
        <w:ind w:right="1985"/>
        <w:rPr>
          <w:rFonts w:ascii="Franklin Gothic Medium" w:eastAsia="Arial Unicode MS" w:hAnsi="Franklin Gothic Medium" w:cs="Arial"/>
          <w:bCs/>
          <w:color w:val="3C3060"/>
          <w:sz w:val="52"/>
          <w:szCs w:val="52"/>
          <w14:ligatures w14:val="none"/>
        </w:rPr>
      </w:pPr>
      <w:r>
        <w:rPr>
          <w:rFonts w:ascii="Franklin Gothic Medium" w:eastAsia="Arial Unicode MS" w:hAnsi="Franklin Gothic Medium" w:cs="Arial"/>
          <w:bCs/>
          <w:color w:val="3C3060"/>
          <w:sz w:val="52"/>
          <w:szCs w:val="52"/>
          <w14:ligatures w14:val="none"/>
        </w:rPr>
        <w:t>Financial Controls</w:t>
      </w:r>
    </w:p>
    <w:p w14:paraId="10B5CBAA" w14:textId="77777777" w:rsidR="00D50B64" w:rsidRPr="00FA0678" w:rsidRDefault="00D50B64" w:rsidP="005F200C">
      <w:pPr>
        <w:tabs>
          <w:tab w:val="left" w:pos="13125"/>
          <w:tab w:val="left" w:pos="14160"/>
        </w:tabs>
        <w:suppressAutoHyphens w:val="0"/>
        <w:spacing w:before="0" w:after="0" w:line="240" w:lineRule="auto"/>
        <w:ind w:right="8505"/>
        <w:rPr>
          <w:rFonts w:ascii="Franklin Gothic Medium" w:eastAsia="Arial Unicode MS" w:hAnsi="Franklin Gothic Medium" w:cs="Arial"/>
          <w:bCs/>
          <w:color w:val="00B973"/>
          <w:sz w:val="56"/>
          <w:szCs w:val="56"/>
          <w14:ligatures w14:val="none"/>
        </w:rPr>
      </w:pPr>
      <w:r w:rsidRPr="00FA0678">
        <w:rPr>
          <w:rFonts w:ascii="Franklin Gothic Medium" w:eastAsia="Arial Unicode MS" w:hAnsi="Franklin Gothic Medium" w:cs="Arial"/>
          <w:bCs/>
          <w:color w:val="00B973"/>
          <w:sz w:val="56"/>
          <w:szCs w:val="56"/>
          <w14:ligatures w14:val="none"/>
        </w:rPr>
        <w:t>202</w:t>
      </w:r>
      <w:r w:rsidR="00F44739">
        <w:rPr>
          <w:rFonts w:ascii="Franklin Gothic Medium" w:eastAsia="Arial Unicode MS" w:hAnsi="Franklin Gothic Medium" w:cs="Arial"/>
          <w:bCs/>
          <w:color w:val="00B973"/>
          <w:sz w:val="56"/>
          <w:szCs w:val="56"/>
          <w14:ligatures w14:val="none"/>
        </w:rPr>
        <w:t>3</w:t>
      </w:r>
      <w:r w:rsidRPr="00FA0678">
        <w:rPr>
          <w:rFonts w:ascii="Franklin Gothic Medium" w:eastAsia="Arial Unicode MS" w:hAnsi="Franklin Gothic Medium" w:cs="Arial"/>
          <w:bCs/>
          <w:color w:val="00B973"/>
          <w:sz w:val="56"/>
          <w:szCs w:val="56"/>
          <w14:ligatures w14:val="none"/>
        </w:rPr>
        <w:t>-2</w:t>
      </w:r>
      <w:r w:rsidR="00F44739">
        <w:rPr>
          <w:rFonts w:ascii="Franklin Gothic Medium" w:eastAsia="Arial Unicode MS" w:hAnsi="Franklin Gothic Medium" w:cs="Arial"/>
          <w:bCs/>
          <w:color w:val="00B973"/>
          <w:sz w:val="56"/>
          <w:szCs w:val="56"/>
          <w14:ligatures w14:val="none"/>
        </w:rPr>
        <w:t>4</w:t>
      </w:r>
    </w:p>
    <w:p w14:paraId="2952DFCC" w14:textId="77777777" w:rsidR="00D50B64" w:rsidRPr="002521FE" w:rsidRDefault="00D50B64" w:rsidP="00D50B64">
      <w:pPr>
        <w:tabs>
          <w:tab w:val="left" w:pos="13125"/>
          <w:tab w:val="left" w:pos="14160"/>
        </w:tabs>
        <w:suppressAutoHyphens w:val="0"/>
        <w:spacing w:before="0" w:after="0" w:line="240" w:lineRule="auto"/>
        <w:rPr>
          <w:rFonts w:ascii="Arial" w:eastAsia="Arial Unicode MS" w:hAnsi="Arial" w:cs="Arial"/>
          <w:b/>
          <w:color w:val="3C3060"/>
          <w:sz w:val="36"/>
          <w:szCs w:val="36"/>
          <w14:ligatures w14:val="none"/>
        </w:rPr>
      </w:pPr>
      <w:r w:rsidRPr="002521FE">
        <w:rPr>
          <w:rFonts w:ascii="Arial" w:eastAsia="Times New Roman" w:hAnsi="Arial" w:cs="Arial"/>
          <w:noProof/>
          <w:sz w:val="24"/>
          <w:lang w:eastAsia="en-GB"/>
          <w14:ligatures w14:val="none"/>
        </w:rPr>
        <mc:AlternateContent>
          <mc:Choice Requires="wps">
            <w:drawing>
              <wp:anchor distT="0" distB="0" distL="114300" distR="114300" simplePos="0" relativeHeight="251658242" behindDoc="0" locked="0" layoutInCell="1" allowOverlap="1" wp14:anchorId="416EB3F1" wp14:editId="4EF9F852">
                <wp:simplePos x="0" y="0"/>
                <wp:positionH relativeFrom="column">
                  <wp:posOffset>11430</wp:posOffset>
                </wp:positionH>
                <wp:positionV relativeFrom="paragraph">
                  <wp:posOffset>14605</wp:posOffset>
                </wp:positionV>
                <wp:extent cx="6552000" cy="0"/>
                <wp:effectExtent l="0" t="0" r="0" b="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00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C34F5" id="_x0000_t32" coordsize="21600,21600" o:spt="32" o:oned="t" path="m,l21600,21600e" filled="f">
                <v:path arrowok="t" fillok="f" o:connecttype="none"/>
                <o:lock v:ext="edit" shapetype="t"/>
              </v:shapetype>
              <v:shape id="Straight Arrow Connector 145" o:spid="_x0000_s1026" type="#_x0000_t32" style="position:absolute;margin-left:.9pt;margin-top:1.15pt;width:515.9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" strokecolor="#00b973" strokeweight="1.5pt"/>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1" behindDoc="0" locked="0" layoutInCell="1" allowOverlap="1" wp14:anchorId="66B83E79" wp14:editId="45419C3F">
                <wp:simplePos x="0" y="0"/>
                <wp:positionH relativeFrom="column">
                  <wp:posOffset>828675</wp:posOffset>
                </wp:positionH>
                <wp:positionV relativeFrom="paragraph">
                  <wp:posOffset>5005704</wp:posOffset>
                </wp:positionV>
                <wp:extent cx="523875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543821" id="Straight Connector 146"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0" behindDoc="0" locked="0" layoutInCell="1" allowOverlap="1" wp14:anchorId="0113F322" wp14:editId="75631572">
                <wp:simplePos x="0" y="0"/>
                <wp:positionH relativeFrom="column">
                  <wp:posOffset>828675</wp:posOffset>
                </wp:positionH>
                <wp:positionV relativeFrom="paragraph">
                  <wp:posOffset>5005704</wp:posOffset>
                </wp:positionV>
                <wp:extent cx="52387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BE3D8F" id="Straight Connector 1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p>
    <w:p w14:paraId="6B6060EF" w14:textId="77777777" w:rsidR="00D50B64" w:rsidRPr="002521FE" w:rsidRDefault="00D50B64" w:rsidP="00D50B64">
      <w:pPr>
        <w:tabs>
          <w:tab w:val="left" w:pos="11057"/>
          <w:tab w:val="left" w:pos="13125"/>
          <w:tab w:val="left" w:pos="14160"/>
        </w:tabs>
        <w:suppressAutoHyphens w:val="0"/>
        <w:spacing w:before="0" w:after="0" w:line="240" w:lineRule="auto"/>
        <w:ind w:right="3515"/>
        <w:rPr>
          <w:rFonts w:ascii="Arial" w:eastAsia="Arial Unicode MS" w:hAnsi="Arial" w:cs="Arial"/>
          <w:b/>
          <w:color w:val="FF0000"/>
          <w:sz w:val="32"/>
          <w:szCs w:val="32"/>
          <w14:ligatures w14:val="none"/>
        </w:rPr>
      </w:pPr>
    </w:p>
    <w:p w14:paraId="6B73AA21" w14:textId="37187209" w:rsidR="00D50B64" w:rsidRPr="005F200C" w:rsidRDefault="00A64191" w:rsidP="00D50B64">
      <w:pPr>
        <w:tabs>
          <w:tab w:val="left" w:pos="13125"/>
          <w:tab w:val="left" w:pos="14160"/>
        </w:tabs>
        <w:suppressAutoHyphens w:val="0"/>
        <w:spacing w:before="0" w:after="0" w:line="240" w:lineRule="auto"/>
        <w:ind w:right="3798"/>
        <w:rPr>
          <w:rFonts w:ascii="Franklin Gothic Medium" w:eastAsia="Arial Unicode MS" w:hAnsi="Franklin Gothic Medium" w:cs="Arial"/>
          <w:bCs/>
          <w:color w:val="3C3060"/>
          <w:sz w:val="56"/>
          <w:szCs w:val="56"/>
          <w14:ligatures w14:val="none"/>
        </w:rPr>
      </w:pPr>
      <w:r>
        <w:rPr>
          <w:rFonts w:ascii="Franklin Gothic Medium" w:eastAsia="Arial Unicode MS" w:hAnsi="Franklin Gothic Medium" w:cs="Arial"/>
          <w:bCs/>
          <w:color w:val="3C3060"/>
          <w:sz w:val="56"/>
          <w:szCs w:val="56"/>
          <w14:ligatures w14:val="none"/>
        </w:rPr>
        <w:t>Shenfield High School</w:t>
      </w:r>
    </w:p>
    <w:p w14:paraId="4F52B730" w14:textId="72CF7A8D" w:rsidR="00D50B64" w:rsidRPr="005F200C" w:rsidRDefault="00A64191" w:rsidP="00D50B64">
      <w:pPr>
        <w:tabs>
          <w:tab w:val="left" w:pos="13125"/>
          <w:tab w:val="left" w:pos="14160"/>
        </w:tabs>
        <w:suppressAutoHyphens w:val="0"/>
        <w:spacing w:before="0" w:after="0" w:line="240" w:lineRule="auto"/>
        <w:ind w:right="3798"/>
        <w:rPr>
          <w:rFonts w:ascii="Franklin Gothic Medium" w:eastAsia="Arial Unicode MS" w:hAnsi="Franklin Gothic Medium" w:cs="Arial"/>
          <w:bCs/>
          <w:color w:val="3C3060"/>
          <w:sz w:val="40"/>
          <w:szCs w:val="40"/>
          <w14:ligatures w14:val="none"/>
        </w:rPr>
      </w:pPr>
      <w:r>
        <w:rPr>
          <w:rFonts w:ascii="Franklin Gothic Medium" w:eastAsia="Arial Unicode MS" w:hAnsi="Franklin Gothic Medium" w:cs="Arial"/>
          <w:bCs/>
          <w:color w:val="3C3060"/>
          <w:sz w:val="40"/>
          <w:szCs w:val="40"/>
          <w14:ligatures w14:val="none"/>
        </w:rPr>
        <w:t>Review 1 of 3:  November 2023</w:t>
      </w:r>
    </w:p>
    <w:p w14:paraId="334A8860" w14:textId="77777777" w:rsidR="00D50B64" w:rsidRPr="002521FE" w:rsidRDefault="00D50B64" w:rsidP="00D50B64">
      <w:pPr>
        <w:tabs>
          <w:tab w:val="left" w:pos="13125"/>
          <w:tab w:val="left" w:pos="14160"/>
        </w:tabs>
        <w:suppressAutoHyphens w:val="0"/>
        <w:spacing w:before="0" w:after="0" w:line="240" w:lineRule="auto"/>
        <w:ind w:right="5924"/>
        <w:rPr>
          <w:rFonts w:ascii="Arial" w:eastAsia="Arial Unicode MS" w:hAnsi="Arial" w:cs="Arial"/>
          <w:b/>
          <w:sz w:val="32"/>
          <w:szCs w:val="32"/>
          <w14:ligatures w14:val="none"/>
        </w:rPr>
      </w:pPr>
    </w:p>
    <w:p w14:paraId="4D5E9FD8" w14:textId="77777777" w:rsidR="00D50B64" w:rsidRPr="002521FE" w:rsidRDefault="00D50B64" w:rsidP="00D50B64">
      <w:pPr>
        <w:tabs>
          <w:tab w:val="left" w:pos="13125"/>
          <w:tab w:val="left" w:pos="14160"/>
        </w:tabs>
        <w:suppressAutoHyphens w:val="0"/>
        <w:spacing w:before="0" w:after="0" w:line="240" w:lineRule="auto"/>
        <w:ind w:right="8505"/>
        <w:rPr>
          <w:rFonts w:ascii="Arial" w:eastAsia="Arial Unicode MS" w:hAnsi="Arial" w:cs="Arial"/>
          <w:b/>
          <w:sz w:val="32"/>
          <w:szCs w:val="32"/>
          <w14:ligatures w14:val="none"/>
        </w:rPr>
      </w:pPr>
    </w:p>
    <w:p w14:paraId="4226FA8F" w14:textId="77777777" w:rsidR="00D50B64" w:rsidRPr="002521FE" w:rsidRDefault="00D50B64" w:rsidP="00D50B64">
      <w:pPr>
        <w:suppressAutoHyphens w:val="0"/>
        <w:spacing w:before="0" w:after="200" w:line="276" w:lineRule="auto"/>
        <w:rPr>
          <w:rFonts w:ascii="Zona Pro" w:eastAsia="Arial Unicode MS" w:hAnsi="Zona Pro" w:cs="Times New Roman"/>
          <w:b/>
          <w:bCs/>
          <w:color w:val="3C3060"/>
          <w:sz w:val="28"/>
          <w:szCs w:val="28"/>
          <w:lang w:eastAsia="en-GB"/>
          <w14:ligatures w14:val="none"/>
        </w:rPr>
      </w:pPr>
      <w:r w:rsidRPr="002521FE">
        <w:rPr>
          <w:rFonts w:ascii="Zona Pro" w:eastAsia="Arial Unicode MS" w:hAnsi="Zona Pro" w:cs="Times New Roman"/>
          <w:b/>
          <w:bCs/>
          <w:color w:val="3C3060"/>
          <w:sz w:val="28"/>
          <w:szCs w:val="28"/>
          <w:lang w:eastAsia="en-GB"/>
          <w14:ligatures w14:val="none"/>
        </w:rPr>
        <w:br w:type="page"/>
      </w:r>
    </w:p>
    <w:p w14:paraId="6C6718A9" w14:textId="77777777" w:rsidR="00D50B64" w:rsidRDefault="00D50B64" w:rsidP="00143CE0">
      <w:pPr>
        <w:pStyle w:val="Sub-heading"/>
      </w:pPr>
      <w:r>
        <w:lastRenderedPageBreak/>
        <w:t xml:space="preserve">Executive </w:t>
      </w:r>
      <w:r w:rsidRPr="005F200C">
        <w:t>Summary</w:t>
      </w:r>
      <w:r>
        <w:t xml:space="preserve"> </w:t>
      </w:r>
    </w:p>
    <w:p w14:paraId="4A2A0DFF" w14:textId="77777777" w:rsidR="00D50B64" w:rsidRPr="00FC02DB" w:rsidRDefault="00D50B64" w:rsidP="00D50B64">
      <w:pPr>
        <w:keepNext/>
        <w:spacing w:after="0" w:line="240" w:lineRule="auto"/>
        <w:outlineLvl w:val="0"/>
        <w:rPr>
          <w:rFonts w:eastAsia="Arial Unicode MS" w:cs="Times New Roman"/>
          <w:sz w:val="22"/>
          <w:szCs w:val="22"/>
          <w:lang w:eastAsia="en-GB"/>
        </w:rPr>
      </w:pPr>
    </w:p>
    <w:p w14:paraId="4A67BA31" w14:textId="77777777" w:rsidR="00D50B64" w:rsidRPr="00FC02DB" w:rsidRDefault="00D50B64" w:rsidP="00D50B64">
      <w:pPr>
        <w:keepNext/>
        <w:spacing w:after="0" w:line="240" w:lineRule="auto"/>
        <w:outlineLvl w:val="0"/>
        <w:rPr>
          <w:rFonts w:eastAsia="Arial Unicode MS" w:cs="Times New Roman"/>
          <w:bCs/>
          <w:sz w:val="22"/>
          <w:szCs w:val="22"/>
          <w:lang w:eastAsia="en-GB"/>
        </w:rPr>
      </w:pPr>
      <w:r w:rsidRPr="00FC02DB">
        <w:rPr>
          <w:rFonts w:eastAsia="Arial Unicode MS" w:cs="Times New Roman"/>
          <w:bCs/>
          <w:sz w:val="22"/>
          <w:szCs w:val="22"/>
          <w:lang w:eastAsia="en-GB"/>
        </w:rPr>
        <w:t xml:space="preserve">This report provides assurance that adequate controls are being operated within </w:t>
      </w:r>
      <w:r w:rsidRPr="005F200C">
        <w:rPr>
          <w:rFonts w:eastAsia="Arial Unicode MS" w:cs="Times New Roman"/>
          <w:bCs/>
          <w:sz w:val="22"/>
          <w:szCs w:val="22"/>
          <w:lang w:eastAsia="en-GB"/>
        </w:rPr>
        <w:t>the trust, based</w:t>
      </w:r>
      <w:r w:rsidRPr="00FC02DB">
        <w:rPr>
          <w:rFonts w:eastAsia="Arial Unicode MS" w:cs="Times New Roman"/>
          <w:bCs/>
          <w:sz w:val="22"/>
          <w:szCs w:val="22"/>
          <w:lang w:eastAsia="en-GB"/>
        </w:rPr>
        <w:t xml:space="preserve"> on the understanding that the information provided during the review</w:t>
      </w:r>
      <w:r>
        <w:rPr>
          <w:rFonts w:eastAsia="Arial Unicode MS" w:cs="Times New Roman"/>
          <w:bCs/>
          <w:sz w:val="22"/>
          <w:szCs w:val="22"/>
          <w:lang w:eastAsia="en-GB"/>
        </w:rPr>
        <w:t xml:space="preserve"> </w:t>
      </w:r>
      <w:r w:rsidRPr="00FC02DB">
        <w:rPr>
          <w:rFonts w:eastAsia="Arial Unicode MS" w:cs="Times New Roman"/>
          <w:bCs/>
          <w:sz w:val="22"/>
          <w:szCs w:val="22"/>
          <w:lang w:eastAsia="en-GB"/>
        </w:rPr>
        <w:t xml:space="preserve">is accurate and complete. It should be noted however that recommendations to improve controls, if implemented, cannot guarantee that fraud or misappropriation could not occur. </w:t>
      </w:r>
    </w:p>
    <w:p w14:paraId="085EB961" w14:textId="77777777" w:rsidR="00D50B64" w:rsidRDefault="00D50B64" w:rsidP="00D50B64">
      <w:pPr>
        <w:keepNext/>
        <w:spacing w:after="0" w:line="240" w:lineRule="auto"/>
        <w:outlineLvl w:val="0"/>
        <w:rPr>
          <w:rFonts w:eastAsia="Arial Unicode MS" w:cs="Times New Roman"/>
          <w:sz w:val="22"/>
          <w:szCs w:val="22"/>
          <w:lang w:eastAsia="en-GB"/>
        </w:rPr>
      </w:pPr>
      <w:r w:rsidRPr="00FC02DB">
        <w:rPr>
          <w:sz w:val="22"/>
          <w:szCs w:val="22"/>
        </w:rPr>
        <w:t xml:space="preserve">Recommendations raised in the report issued </w:t>
      </w:r>
      <w:r w:rsidRPr="00FC02DB">
        <w:rPr>
          <w:rFonts w:eastAsia="Arial Unicode MS" w:cs="Times New Roman"/>
          <w:sz w:val="22"/>
          <w:szCs w:val="22"/>
          <w:lang w:eastAsia="en-GB"/>
        </w:rPr>
        <w:t xml:space="preserve">should be considered by the board of trustees / Audit and Risk Committee to assist them in providing assurance over the suitability of, and compliance with, the systems and operational controls in place. </w:t>
      </w:r>
    </w:p>
    <w:p w14:paraId="34FA6DF8" w14:textId="77777777" w:rsidR="00D50B64" w:rsidRPr="005B3080" w:rsidRDefault="00D50B64" w:rsidP="00D50B64">
      <w:pPr>
        <w:autoSpaceDE w:val="0"/>
        <w:autoSpaceDN w:val="0"/>
        <w:adjustRightInd w:val="0"/>
        <w:spacing w:after="0" w:line="240" w:lineRule="auto"/>
        <w:rPr>
          <w:rFonts w:cs="Calibri"/>
          <w:color w:val="000000"/>
          <w:sz w:val="22"/>
          <w:szCs w:val="22"/>
        </w:rPr>
      </w:pPr>
      <w:r>
        <w:rPr>
          <w:color w:val="000000"/>
          <w:sz w:val="22"/>
          <w:szCs w:val="22"/>
        </w:rPr>
        <w:t>No fraud was identified or reported to us for the 202</w:t>
      </w:r>
      <w:r w:rsidR="00F44739">
        <w:rPr>
          <w:color w:val="000000"/>
          <w:sz w:val="22"/>
          <w:szCs w:val="22"/>
        </w:rPr>
        <w:t>3</w:t>
      </w:r>
      <w:r>
        <w:rPr>
          <w:color w:val="000000"/>
          <w:sz w:val="22"/>
          <w:szCs w:val="22"/>
        </w:rPr>
        <w:t>-2</w:t>
      </w:r>
      <w:r w:rsidR="00F44739">
        <w:rPr>
          <w:color w:val="000000"/>
          <w:sz w:val="22"/>
          <w:szCs w:val="22"/>
        </w:rPr>
        <w:t>4</w:t>
      </w:r>
      <w:r>
        <w:rPr>
          <w:color w:val="000000"/>
          <w:sz w:val="22"/>
          <w:szCs w:val="22"/>
        </w:rPr>
        <w:t xml:space="preserve"> period.</w:t>
      </w:r>
      <w:r w:rsidRPr="005B3080">
        <w:rPr>
          <w:rFonts w:cs="Calibri"/>
          <w:color w:val="000000"/>
          <w:sz w:val="22"/>
          <w:szCs w:val="22"/>
        </w:rPr>
        <w:t xml:space="preserve"> It remains the </w:t>
      </w:r>
      <w:r>
        <w:rPr>
          <w:rFonts w:cs="Calibri"/>
          <w:color w:val="000000"/>
          <w:sz w:val="22"/>
          <w:szCs w:val="22"/>
        </w:rPr>
        <w:t>responsibility:</w:t>
      </w:r>
      <w:r w:rsidRPr="005B3080">
        <w:rPr>
          <w:rFonts w:cs="Calibri"/>
          <w:color w:val="000000"/>
          <w:sz w:val="22"/>
          <w:szCs w:val="22"/>
        </w:rPr>
        <w:t xml:space="preserve"> of management to manage the control environment to help identify potential fraud and prevent the likelihood of fraud occurring. </w:t>
      </w:r>
    </w:p>
    <w:p w14:paraId="0659919F"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35344206"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30D5C20A"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381B5A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72228E19"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32B24B65"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7D033455"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7EFBAE7D"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861FD4E"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023F519C"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522A90F5" w14:textId="77777777" w:rsidR="00D50B64" w:rsidRPr="00BC4175" w:rsidRDefault="00D50B64" w:rsidP="00143CE0">
      <w:pPr>
        <w:pStyle w:val="Sub-heading"/>
      </w:pPr>
      <w:r w:rsidRPr="00BC4175">
        <w:lastRenderedPageBreak/>
        <w:t>Introduction</w:t>
      </w:r>
    </w:p>
    <w:p w14:paraId="4607E531" w14:textId="77777777" w:rsidR="00F44739" w:rsidRDefault="00F44739" w:rsidP="00F44739">
      <w:pPr>
        <w:pStyle w:val="Quote"/>
        <w:framePr w:wrap="around" w:hAnchor="page" w:x="961" w:y="626"/>
      </w:pPr>
      <w:r>
        <w:t xml:space="preserve">3.1  All academy trusts </w:t>
      </w:r>
      <w:r w:rsidRPr="00267C90">
        <w:rPr>
          <w:b/>
        </w:rPr>
        <w:t>must</w:t>
      </w:r>
      <w:r>
        <w:t xml:space="preserve"> have a programme of internal scrutiny to provide independent assurance to the board that its financial and non-financial controls and risk management procedures are operating effectively.  </w:t>
      </w:r>
    </w:p>
    <w:p w14:paraId="37F05FA5" w14:textId="77777777" w:rsidR="00F44739"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 xml:space="preserve">The Academy trust handbook specifies </w:t>
      </w:r>
    </w:p>
    <w:p w14:paraId="1B92046D"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Providing that the trust has selected a scope of work for financial and non-financial controls and has considered its risk register, this Internal Scrutiny Report demonstrates how the trust meets the Academy trust handbook 202</w:t>
      </w:r>
      <w:r w:rsidR="00F44739">
        <w:rPr>
          <w:rFonts w:eastAsia="Arial Unicode MS"/>
          <w:bCs/>
          <w:color w:val="1A1A1A" w:themeColor="text1"/>
          <w:sz w:val="22"/>
          <w:szCs w:val="22"/>
        </w:rPr>
        <w:t>3</w:t>
      </w:r>
      <w:r>
        <w:rPr>
          <w:rFonts w:eastAsia="Arial Unicode MS"/>
          <w:bCs/>
          <w:color w:val="1A1A1A" w:themeColor="text1"/>
          <w:sz w:val="22"/>
          <w:szCs w:val="22"/>
        </w:rPr>
        <w:t xml:space="preserve"> </w:t>
      </w:r>
      <w:r w:rsidR="004810B6">
        <w:rPr>
          <w:rFonts w:eastAsia="Arial Unicode MS"/>
          <w:bCs/>
          <w:color w:val="1A1A1A" w:themeColor="text1"/>
          <w:sz w:val="22"/>
          <w:szCs w:val="22"/>
        </w:rPr>
        <w:t xml:space="preserve">internal scrutiny </w:t>
      </w:r>
      <w:r>
        <w:rPr>
          <w:rFonts w:eastAsia="Arial Unicode MS"/>
          <w:bCs/>
          <w:color w:val="1A1A1A" w:themeColor="text1"/>
          <w:sz w:val="22"/>
          <w:szCs w:val="22"/>
        </w:rPr>
        <w:t>requiremen</w:t>
      </w:r>
      <w:r w:rsidR="00DB3654">
        <w:rPr>
          <w:rFonts w:eastAsia="Arial Unicode MS"/>
          <w:bCs/>
          <w:color w:val="1A1A1A" w:themeColor="text1"/>
          <w:sz w:val="22"/>
          <w:szCs w:val="22"/>
        </w:rPr>
        <w:t>t</w:t>
      </w:r>
      <w:r w:rsidR="004810B6">
        <w:rPr>
          <w:rFonts w:eastAsia="Arial Unicode MS"/>
          <w:bCs/>
          <w:color w:val="1A1A1A" w:themeColor="text1"/>
          <w:sz w:val="22"/>
          <w:szCs w:val="22"/>
        </w:rPr>
        <w:t>s.</w:t>
      </w:r>
    </w:p>
    <w:p w14:paraId="4BC08803" w14:textId="77777777" w:rsidR="00DB3654" w:rsidRDefault="00DB3654" w:rsidP="00D50B64">
      <w:pPr>
        <w:tabs>
          <w:tab w:val="left" w:pos="13125"/>
          <w:tab w:val="left" w:pos="14160"/>
        </w:tabs>
        <w:spacing w:after="0" w:line="240" w:lineRule="auto"/>
        <w:ind w:right="917"/>
        <w:rPr>
          <w:rFonts w:eastAsia="Arial Unicode MS"/>
          <w:bCs/>
          <w:color w:val="1A1A1A" w:themeColor="text1"/>
          <w:sz w:val="22"/>
          <w:szCs w:val="22"/>
        </w:rPr>
      </w:pPr>
    </w:p>
    <w:p w14:paraId="342EC0B2" w14:textId="77777777" w:rsidR="00D50B64" w:rsidRPr="00647ED2" w:rsidRDefault="00D50B64" w:rsidP="00DB3654">
      <w:pPr>
        <w:tabs>
          <w:tab w:val="left" w:pos="13125"/>
          <w:tab w:val="left" w:pos="14160"/>
        </w:tabs>
        <w:spacing w:after="0" w:line="240" w:lineRule="auto"/>
        <w:ind w:right="917"/>
        <w:rPr>
          <w:rFonts w:eastAsia="Arial Unicode MS" w:cs="Arial"/>
          <w:b/>
          <w:color w:val="514972" w:themeColor="accent2" w:themeShade="BF"/>
          <w:sz w:val="24"/>
          <w:szCs w:val="28"/>
          <w:lang w:eastAsia="en-GB"/>
        </w:rPr>
      </w:pPr>
      <w:r w:rsidRPr="00647ED2">
        <w:rPr>
          <w:rFonts w:eastAsia="Arial Unicode MS" w:cs="Arial"/>
          <w:b/>
          <w:color w:val="514972" w:themeColor="accent2" w:themeShade="BF"/>
          <w:sz w:val="24"/>
          <w:szCs w:val="28"/>
          <w:lang w:eastAsia="en-GB"/>
        </w:rPr>
        <w:t>Please note that this report is an exception report and therefore only contains the details of any issues arising from the review of the scope of work detailed below.</w:t>
      </w:r>
    </w:p>
    <w:p w14:paraId="00A32BD5"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p>
    <w:p w14:paraId="4816C664" w14:textId="77777777" w:rsidR="00A67DC0" w:rsidRDefault="00A67DC0">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0ED54294" w14:textId="341FEEBE" w:rsidR="00D50B64" w:rsidRPr="00BC4175" w:rsidRDefault="00D50B64" w:rsidP="00143CE0">
      <w:pPr>
        <w:pStyle w:val="Sub-heading"/>
      </w:pPr>
      <w:r w:rsidRPr="00BC4175">
        <w:lastRenderedPageBreak/>
        <w:t>Scope</w:t>
      </w:r>
    </w:p>
    <w:p w14:paraId="2667E416" w14:textId="77777777" w:rsidR="00D50B64" w:rsidRDefault="00D50B64" w:rsidP="00BC1121">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The relevant board</w:t>
      </w:r>
      <w:r w:rsidR="00A16EF9">
        <w:rPr>
          <w:rFonts w:eastAsia="Arial Unicode MS"/>
          <w:bCs/>
          <w:color w:val="1A1A1A" w:themeColor="text1"/>
          <w:sz w:val="22"/>
          <w:szCs w:val="22"/>
        </w:rPr>
        <w:t>, informed by its risk register</w:t>
      </w:r>
      <w:r>
        <w:rPr>
          <w:rFonts w:eastAsia="Arial Unicode MS"/>
          <w:bCs/>
          <w:color w:val="1A1A1A" w:themeColor="text1"/>
          <w:sz w:val="22"/>
          <w:szCs w:val="22"/>
        </w:rPr>
        <w:t xml:space="preserve"> approved the below scope of work:</w:t>
      </w:r>
    </w:p>
    <w:tbl>
      <w:tblPr>
        <w:tblW w:w="12040" w:type="dxa"/>
        <w:tblLook w:val="04A0" w:firstRow="1" w:lastRow="0" w:firstColumn="1" w:lastColumn="0" w:noHBand="0" w:noVBand="1"/>
      </w:tblPr>
      <w:tblGrid>
        <w:gridCol w:w="6020"/>
        <w:gridCol w:w="6020"/>
      </w:tblGrid>
      <w:tr w:rsidR="002842CB" w:rsidRPr="00A67DC0" w14:paraId="2C2D6C6D" w14:textId="693C7363" w:rsidTr="002842CB">
        <w:trPr>
          <w:trHeight w:val="330"/>
        </w:trPr>
        <w:tc>
          <w:tcPr>
            <w:tcW w:w="6020" w:type="dxa"/>
            <w:tcBorders>
              <w:top w:val="single" w:sz="8" w:space="0" w:color="auto"/>
              <w:left w:val="single" w:sz="8" w:space="0" w:color="auto"/>
              <w:bottom w:val="nil"/>
              <w:right w:val="single" w:sz="4" w:space="0" w:color="auto"/>
            </w:tcBorders>
            <w:shd w:val="clear" w:color="auto" w:fill="002060"/>
            <w:vAlign w:val="center"/>
            <w:hideMark/>
          </w:tcPr>
          <w:p w14:paraId="726BC9E6" w14:textId="77777777" w:rsidR="002842CB" w:rsidRPr="00A67DC0" w:rsidRDefault="002842CB" w:rsidP="002842CB">
            <w:pPr>
              <w:suppressAutoHyphens w:val="0"/>
              <w:spacing w:before="0" w:after="0" w:line="240" w:lineRule="auto"/>
              <w:rPr>
                <w:rFonts w:eastAsia="Times New Roman" w:cs="Calibri"/>
                <w:b/>
                <w:bCs/>
                <w:color w:val="FFFFFF"/>
                <w:sz w:val="22"/>
                <w:szCs w:val="22"/>
                <w:lang w:eastAsia="en-GB"/>
                <w14:ligatures w14:val="none"/>
              </w:rPr>
            </w:pPr>
            <w:r w:rsidRPr="00A67DC0">
              <w:rPr>
                <w:rFonts w:eastAsia="Times New Roman" w:cs="Calibri"/>
                <w:b/>
                <w:bCs/>
                <w:color w:val="FFFFFF"/>
                <w:sz w:val="22"/>
                <w:szCs w:val="22"/>
                <w:lang w:eastAsia="en-GB"/>
                <w14:ligatures w14:val="none"/>
              </w:rPr>
              <w:t>Governance Framework - 1of2</w:t>
            </w:r>
          </w:p>
        </w:tc>
        <w:tc>
          <w:tcPr>
            <w:tcW w:w="6020" w:type="dxa"/>
            <w:tcBorders>
              <w:top w:val="single" w:sz="4" w:space="0" w:color="auto"/>
              <w:left w:val="single" w:sz="4" w:space="0" w:color="auto"/>
              <w:bottom w:val="single" w:sz="4" w:space="0" w:color="auto"/>
              <w:right w:val="single" w:sz="4" w:space="0" w:color="auto"/>
            </w:tcBorders>
            <w:shd w:val="clear" w:color="auto" w:fill="002060"/>
            <w:vAlign w:val="center"/>
          </w:tcPr>
          <w:p w14:paraId="4F238617" w14:textId="20DBF421"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b/>
                <w:bCs/>
                <w:color w:val="FFFFFF"/>
                <w:sz w:val="22"/>
                <w:szCs w:val="22"/>
              </w:rPr>
              <w:t>Banking</w:t>
            </w:r>
          </w:p>
        </w:tc>
      </w:tr>
      <w:tr w:rsidR="002842CB" w:rsidRPr="00A67DC0" w14:paraId="11716EE7" w14:textId="31314C50" w:rsidTr="002842CB">
        <w:trPr>
          <w:trHeight w:val="930"/>
        </w:trPr>
        <w:tc>
          <w:tcPr>
            <w:tcW w:w="6020" w:type="dxa"/>
            <w:tcBorders>
              <w:top w:val="single" w:sz="4" w:space="0" w:color="auto"/>
              <w:left w:val="single" w:sz="4" w:space="0" w:color="auto"/>
              <w:bottom w:val="single" w:sz="4" w:space="0" w:color="auto"/>
              <w:right w:val="single" w:sz="4" w:space="0" w:color="auto"/>
            </w:tcBorders>
            <w:shd w:val="clear" w:color="auto" w:fill="BBAAE5" w:themeFill="accent1" w:themeFillTint="40"/>
            <w:vAlign w:val="center"/>
            <w:hideMark/>
          </w:tcPr>
          <w:p w14:paraId="65A54C6A"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Internal scrutiny of controls and processes relating to Policies, Transparency, Publication of information.</w:t>
            </w:r>
          </w:p>
        </w:tc>
        <w:tc>
          <w:tcPr>
            <w:tcW w:w="6020" w:type="dxa"/>
            <w:tcBorders>
              <w:top w:val="single" w:sz="4" w:space="0" w:color="auto"/>
              <w:bottom w:val="single" w:sz="4" w:space="0" w:color="auto"/>
              <w:right w:val="single" w:sz="4" w:space="0" w:color="auto"/>
            </w:tcBorders>
            <w:shd w:val="clear" w:color="auto" w:fill="BBAAE5" w:themeFill="accent1" w:themeFillTint="40"/>
            <w:vAlign w:val="center"/>
          </w:tcPr>
          <w:p w14:paraId="4B4966FD" w14:textId="5A00CE27"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Review to establish the effectiveness of the controls and processes for banking and BACS transactions.</w:t>
            </w:r>
          </w:p>
        </w:tc>
      </w:tr>
      <w:tr w:rsidR="002842CB" w:rsidRPr="00A67DC0" w14:paraId="063E20D9" w14:textId="6BF18AA1" w:rsidTr="002842CB">
        <w:trPr>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47B85914"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Financial Oversight &amp; Appointments</w:t>
            </w:r>
          </w:p>
        </w:tc>
        <w:tc>
          <w:tcPr>
            <w:tcW w:w="6020" w:type="dxa"/>
            <w:tcBorders>
              <w:top w:val="single" w:sz="4" w:space="0" w:color="auto"/>
              <w:bottom w:val="single" w:sz="4" w:space="0" w:color="auto"/>
              <w:right w:val="single" w:sz="4" w:space="0" w:color="auto"/>
            </w:tcBorders>
            <w:vAlign w:val="center"/>
          </w:tcPr>
          <w:p w14:paraId="2C6021E0" w14:textId="7F004AB0"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Bank Account Structure</w:t>
            </w:r>
          </w:p>
        </w:tc>
      </w:tr>
      <w:tr w:rsidR="002842CB" w:rsidRPr="00A67DC0" w14:paraId="5326786D" w14:textId="493E4A9B" w:rsidTr="002842CB">
        <w:trPr>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187ECA60"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Related Party Transactions - Register of Interests</w:t>
            </w:r>
          </w:p>
        </w:tc>
        <w:tc>
          <w:tcPr>
            <w:tcW w:w="6020" w:type="dxa"/>
            <w:tcBorders>
              <w:top w:val="single" w:sz="4" w:space="0" w:color="auto"/>
              <w:bottom w:val="single" w:sz="4" w:space="0" w:color="auto"/>
              <w:right w:val="single" w:sz="4" w:space="0" w:color="auto"/>
            </w:tcBorders>
            <w:vAlign w:val="center"/>
          </w:tcPr>
          <w:p w14:paraId="75C10222" w14:textId="087BCCCA"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Authorised Signatories</w:t>
            </w:r>
          </w:p>
        </w:tc>
      </w:tr>
      <w:tr w:rsidR="002842CB" w:rsidRPr="00A67DC0" w14:paraId="014FE76F" w14:textId="106C0D5E" w:rsidTr="002842CB">
        <w:trPr>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05E6C63E"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Related Party Transactions - Declaration of Interest Forms</w:t>
            </w:r>
          </w:p>
        </w:tc>
        <w:tc>
          <w:tcPr>
            <w:tcW w:w="6020" w:type="dxa"/>
            <w:tcBorders>
              <w:top w:val="single" w:sz="4" w:space="0" w:color="auto"/>
              <w:bottom w:val="single" w:sz="4" w:space="0" w:color="auto"/>
              <w:right w:val="single" w:sz="4" w:space="0" w:color="auto"/>
            </w:tcBorders>
            <w:vAlign w:val="center"/>
          </w:tcPr>
          <w:p w14:paraId="1C499A87" w14:textId="4EB9FC8B"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BACS</w:t>
            </w:r>
          </w:p>
        </w:tc>
      </w:tr>
      <w:tr w:rsidR="002842CB" w:rsidRPr="00A67DC0" w14:paraId="2C099D8C" w14:textId="501A2F9F" w:rsidTr="002842CB">
        <w:trPr>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716E358F"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Related Party Transactions - Conflicts of Interest</w:t>
            </w:r>
          </w:p>
        </w:tc>
        <w:tc>
          <w:tcPr>
            <w:tcW w:w="6020" w:type="dxa"/>
            <w:tcBorders>
              <w:top w:val="single" w:sz="4" w:space="0" w:color="auto"/>
              <w:bottom w:val="single" w:sz="4" w:space="0" w:color="auto"/>
              <w:right w:val="single" w:sz="4" w:space="0" w:color="auto"/>
            </w:tcBorders>
            <w:vAlign w:val="center"/>
          </w:tcPr>
          <w:p w14:paraId="17A1B969" w14:textId="3252B209"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Bank Reconciliation</w:t>
            </w:r>
          </w:p>
        </w:tc>
      </w:tr>
      <w:tr w:rsidR="002842CB" w:rsidRPr="00A67DC0" w14:paraId="47EF5546" w14:textId="2984C249" w:rsidTr="002842CB">
        <w:trPr>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07EDC6C6"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Related Party Transactions - Reporting</w:t>
            </w:r>
          </w:p>
        </w:tc>
        <w:tc>
          <w:tcPr>
            <w:tcW w:w="6020" w:type="dxa"/>
            <w:tcBorders>
              <w:top w:val="single" w:sz="4" w:space="0" w:color="auto"/>
              <w:bottom w:val="single" w:sz="4" w:space="0" w:color="auto"/>
              <w:right w:val="single" w:sz="4" w:space="0" w:color="auto"/>
            </w:tcBorders>
            <w:vAlign w:val="center"/>
          </w:tcPr>
          <w:p w14:paraId="651E3B24" w14:textId="53CFBF00"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Sample testing of bank reconciliations</w:t>
            </w:r>
          </w:p>
        </w:tc>
      </w:tr>
      <w:tr w:rsidR="002842CB" w:rsidRPr="00A67DC0" w14:paraId="00578A0E" w14:textId="63DF448E" w:rsidTr="002842CB">
        <w:trPr>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43A732E0"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Transparency - GIAS</w:t>
            </w:r>
          </w:p>
        </w:tc>
        <w:tc>
          <w:tcPr>
            <w:tcW w:w="6020" w:type="dxa"/>
            <w:tcBorders>
              <w:top w:val="single" w:sz="4" w:space="0" w:color="auto"/>
              <w:bottom w:val="single" w:sz="4" w:space="0" w:color="auto"/>
              <w:right w:val="single" w:sz="4" w:space="0" w:color="auto"/>
            </w:tcBorders>
            <w:vAlign w:val="center"/>
          </w:tcPr>
          <w:p w14:paraId="0755E876" w14:textId="05C3A76D"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Cheque payments</w:t>
            </w:r>
          </w:p>
        </w:tc>
      </w:tr>
      <w:tr w:rsidR="002842CB" w:rsidRPr="00A67DC0" w14:paraId="7BCFAE59" w14:textId="3DFAA8AF" w:rsidTr="002842CB">
        <w:trPr>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3957E3EC"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Suitability of members</w:t>
            </w:r>
          </w:p>
        </w:tc>
        <w:tc>
          <w:tcPr>
            <w:tcW w:w="6020" w:type="dxa"/>
            <w:tcBorders>
              <w:top w:val="single" w:sz="4" w:space="0" w:color="auto"/>
              <w:bottom w:val="single" w:sz="4" w:space="0" w:color="auto"/>
              <w:right w:val="single" w:sz="4" w:space="0" w:color="auto"/>
            </w:tcBorders>
            <w:vAlign w:val="center"/>
          </w:tcPr>
          <w:p w14:paraId="5426223B" w14:textId="55FC1769" w:rsidR="002842CB" w:rsidRPr="00A67DC0" w:rsidRDefault="002842CB" w:rsidP="002842C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Unresolved Issues</w:t>
            </w:r>
          </w:p>
        </w:tc>
      </w:tr>
      <w:tr w:rsidR="002842CB" w:rsidRPr="00A67DC0" w14:paraId="35C8CEDD" w14:textId="77777777" w:rsidTr="002842CB">
        <w:trPr>
          <w:gridAfter w:val="1"/>
          <w:wAfter w:w="6020" w:type="dxa"/>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69607DD9"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Gifts</w:t>
            </w:r>
          </w:p>
        </w:tc>
      </w:tr>
      <w:tr w:rsidR="002842CB" w:rsidRPr="00A67DC0" w14:paraId="7B9F046C" w14:textId="77777777" w:rsidTr="002842CB">
        <w:trPr>
          <w:gridAfter w:val="1"/>
          <w:wAfter w:w="6020" w:type="dxa"/>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73B4D6BD"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Risk</w:t>
            </w:r>
          </w:p>
        </w:tc>
      </w:tr>
      <w:tr w:rsidR="002842CB" w:rsidRPr="00A67DC0" w14:paraId="3969297D" w14:textId="77777777" w:rsidTr="002842CB">
        <w:trPr>
          <w:gridAfter w:val="1"/>
          <w:wAfter w:w="6020" w:type="dxa"/>
          <w:trHeight w:val="312"/>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1E799581"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Business Continuity</w:t>
            </w:r>
          </w:p>
        </w:tc>
      </w:tr>
      <w:tr w:rsidR="002842CB" w:rsidRPr="00A67DC0" w14:paraId="746110F6" w14:textId="77777777" w:rsidTr="002842CB">
        <w:trPr>
          <w:gridAfter w:val="1"/>
          <w:wAfter w:w="6020" w:type="dxa"/>
          <w:trHeight w:val="330"/>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12698006"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Internal Scrutiny - Audit and Risk Committee</w:t>
            </w:r>
          </w:p>
        </w:tc>
      </w:tr>
      <w:tr w:rsidR="002842CB" w:rsidRPr="00A67DC0" w14:paraId="5A72BE9D" w14:textId="77777777" w:rsidTr="002842CB">
        <w:trPr>
          <w:gridAfter w:val="1"/>
          <w:wAfter w:w="6020" w:type="dxa"/>
          <w:trHeight w:val="330"/>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4AD4A2B4"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Whistleblowing</w:t>
            </w:r>
          </w:p>
        </w:tc>
      </w:tr>
      <w:tr w:rsidR="002842CB" w:rsidRPr="00A67DC0" w14:paraId="599815D5" w14:textId="77777777" w:rsidTr="002842CB">
        <w:trPr>
          <w:gridAfter w:val="1"/>
          <w:wAfter w:w="6020" w:type="dxa"/>
          <w:trHeight w:val="330"/>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7F076419" w14:textId="77777777" w:rsidR="002842CB" w:rsidRPr="00A67DC0" w:rsidRDefault="002842CB" w:rsidP="002842CB">
            <w:pPr>
              <w:suppressAutoHyphens w:val="0"/>
              <w:spacing w:before="0" w:after="0" w:line="240" w:lineRule="auto"/>
              <w:rPr>
                <w:rFonts w:eastAsia="Times New Roman" w:cs="Calibri"/>
                <w:color w:val="1A1A1A"/>
                <w:sz w:val="22"/>
                <w:szCs w:val="22"/>
                <w:lang w:eastAsia="en-GB"/>
                <w14:ligatures w14:val="none"/>
              </w:rPr>
            </w:pPr>
            <w:r w:rsidRPr="00A67DC0">
              <w:rPr>
                <w:rFonts w:eastAsia="Times New Roman" w:cs="Calibri"/>
                <w:color w:val="1A1A1A"/>
                <w:sz w:val="22"/>
                <w:szCs w:val="22"/>
                <w:lang w:eastAsia="en-GB"/>
                <w14:ligatures w14:val="none"/>
              </w:rPr>
              <w:t>Unresolved Issues</w:t>
            </w:r>
          </w:p>
        </w:tc>
      </w:tr>
    </w:tbl>
    <w:p w14:paraId="68E5646D" w14:textId="77777777" w:rsidR="000542FC" w:rsidRDefault="000542FC" w:rsidP="00BC1121">
      <w:pPr>
        <w:rPr>
          <w:rFonts w:cs="Calibri"/>
          <w:color w:val="FF0000"/>
          <w:sz w:val="22"/>
          <w:szCs w:val="22"/>
        </w:rPr>
      </w:pPr>
    </w:p>
    <w:p w14:paraId="79FC6A10" w14:textId="7324E155" w:rsidR="00BC1121" w:rsidRPr="00BC1121" w:rsidRDefault="00BC1121" w:rsidP="00BC1121">
      <w:pPr>
        <w:rPr>
          <w:rFonts w:cs="Calibri"/>
          <w:color w:val="000000"/>
          <w:sz w:val="22"/>
          <w:szCs w:val="22"/>
        </w:rPr>
      </w:pPr>
      <w:r w:rsidRPr="00BC1121">
        <w:rPr>
          <w:rFonts w:cs="Calibri"/>
          <w:color w:val="000000"/>
          <w:sz w:val="22"/>
          <w:szCs w:val="22"/>
        </w:rPr>
        <w:t>Assessment of policy content for appropriateness is outside of the scope for this review.</w:t>
      </w:r>
      <w:r>
        <w:rPr>
          <w:rFonts w:cs="Calibri"/>
          <w:color w:val="000000"/>
          <w:sz w:val="22"/>
          <w:szCs w:val="22"/>
        </w:rPr>
        <w:t xml:space="preserve">  </w:t>
      </w:r>
      <w:r w:rsidRPr="00BC1121">
        <w:rPr>
          <w:rFonts w:cs="Calibri"/>
          <w:color w:val="000000"/>
          <w:sz w:val="22"/>
          <w:szCs w:val="22"/>
        </w:rPr>
        <w:t>The trust should satisfy themselves that relevant policies are in place and that the content for each policy is appropriate.</w:t>
      </w:r>
    </w:p>
    <w:p w14:paraId="637DEAC9" w14:textId="77777777" w:rsidR="00D50B64" w:rsidRDefault="00BC1121" w:rsidP="00BC1121">
      <w:pPr>
        <w:rPr>
          <w:rFonts w:cs="Calibri"/>
          <w:color w:val="000000"/>
          <w:sz w:val="22"/>
          <w:szCs w:val="22"/>
        </w:rPr>
      </w:pPr>
      <w:r w:rsidRPr="00BC1121">
        <w:rPr>
          <w:rFonts w:cs="Calibri"/>
          <w:color w:val="000000"/>
          <w:sz w:val="22"/>
          <w:szCs w:val="22"/>
        </w:rPr>
        <w:t>Juniper does offer a separate review examining the policies in place and their content.  Please contact the Juniper Audit Manager if this is something the trust would like to consider.</w:t>
      </w:r>
    </w:p>
    <w:p w14:paraId="5A3D365B" w14:textId="77777777" w:rsidR="00114A08" w:rsidRDefault="00114A08">
      <w:pPr>
        <w:suppressAutoHyphens w:val="0"/>
        <w:spacing w:before="0" w:after="0" w:line="240" w:lineRule="auto"/>
        <w:rPr>
          <w:rFonts w:ascii="Franklin Gothic Medium" w:eastAsia="Arial Unicode MS" w:hAnsi="Franklin Gothic Medium" w:cs="Times New Roman (Headings CS)"/>
          <w:color w:val="2C1B57" w:themeColor="accent1" w:themeTint="E6"/>
          <w:sz w:val="32"/>
          <w:szCs w:val="32"/>
        </w:rPr>
      </w:pPr>
      <w:r>
        <w:br w:type="page"/>
      </w:r>
    </w:p>
    <w:p w14:paraId="795B3006" w14:textId="77777777" w:rsidR="00D50B64" w:rsidRPr="00BC4175" w:rsidRDefault="00D50B64" w:rsidP="00143CE0">
      <w:pPr>
        <w:pStyle w:val="Sub-heading"/>
      </w:pPr>
      <w:r w:rsidRPr="00BC4175">
        <w:lastRenderedPageBreak/>
        <w:t>Individual recommendations Key:</w:t>
      </w:r>
    </w:p>
    <w:tbl>
      <w:tblPr>
        <w:tblStyle w:val="TableGrid"/>
        <w:tblW w:w="15304" w:type="dxa"/>
        <w:tblBorders>
          <w:right w:val="none" w:sz="0" w:space="0" w:color="auto"/>
        </w:tblBorders>
        <w:tblCellMar>
          <w:top w:w="57" w:type="dxa"/>
        </w:tblCellMar>
        <w:tblLook w:val="04A0" w:firstRow="1" w:lastRow="0" w:firstColumn="1" w:lastColumn="0" w:noHBand="0" w:noVBand="1"/>
      </w:tblPr>
      <w:tblGrid>
        <w:gridCol w:w="1701"/>
        <w:gridCol w:w="13603"/>
      </w:tblGrid>
      <w:tr w:rsidR="00BC4175" w14:paraId="779ACB45" w14:textId="77777777" w:rsidTr="00114A08">
        <w:trPr>
          <w:trHeight w:val="421"/>
        </w:trPr>
        <w:tc>
          <w:tcPr>
            <w:tcW w:w="1701" w:type="dxa"/>
            <w:shd w:val="clear" w:color="000000" w:fill="FFC7CE"/>
            <w:vAlign w:val="center"/>
          </w:tcPr>
          <w:p w14:paraId="3A4E56C2"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9C0006"/>
                <w:sz w:val="22"/>
                <w:szCs w:val="22"/>
              </w:rPr>
              <w:t>High Priority</w:t>
            </w:r>
          </w:p>
        </w:tc>
        <w:tc>
          <w:tcPr>
            <w:tcW w:w="13603" w:type="dxa"/>
            <w:tcBorders>
              <w:top w:val="single" w:sz="4" w:space="0" w:color="auto"/>
              <w:bottom w:val="single" w:sz="4" w:space="0" w:color="auto"/>
              <w:right w:val="single" w:sz="4" w:space="0" w:color="auto"/>
            </w:tcBorders>
            <w:vAlign w:val="center"/>
          </w:tcPr>
          <w:p w14:paraId="6A631EA0" w14:textId="77777777" w:rsidR="00BC4175" w:rsidRDefault="006110EF" w:rsidP="00114A08">
            <w:pPr>
              <w:suppressAutoHyphens w:val="0"/>
              <w:spacing w:before="0" w:after="0" w:line="240" w:lineRule="auto"/>
              <w:rPr>
                <w:rFonts w:eastAsia="Arial Unicode MS"/>
                <w:b/>
                <w:bCs/>
                <w:color w:val="000000"/>
                <w:sz w:val="22"/>
                <w:szCs w:val="22"/>
                <w:lang w:eastAsia="en-GB"/>
              </w:rPr>
            </w:pPr>
            <w:r>
              <w:rPr>
                <w:rFonts w:eastAsia="Arial Unicode MS"/>
                <w:sz w:val="22"/>
                <w:szCs w:val="22"/>
                <w:lang w:eastAsia="en-GB"/>
              </w:rPr>
              <w:t>Trustees</w:t>
            </w:r>
            <w:r w:rsidR="00BC4175" w:rsidRPr="009F7958">
              <w:rPr>
                <w:rFonts w:eastAsia="Arial Unicode MS"/>
                <w:sz w:val="22"/>
                <w:szCs w:val="22"/>
                <w:lang w:eastAsia="en-GB"/>
              </w:rPr>
              <w:t xml:space="preserve"> must </w:t>
            </w:r>
            <w:r w:rsidR="00BC4175" w:rsidRPr="006D2C43">
              <w:rPr>
                <w:rFonts w:eastAsia="Arial Unicode MS"/>
                <w:sz w:val="22"/>
                <w:szCs w:val="22"/>
                <w:lang w:eastAsia="en-GB"/>
              </w:rPr>
              <w:t>review this recommendation as a priority.</w:t>
            </w:r>
          </w:p>
        </w:tc>
      </w:tr>
      <w:tr w:rsidR="00BC4175" w14:paraId="61F01422" w14:textId="77777777" w:rsidTr="00114A08">
        <w:trPr>
          <w:trHeight w:val="421"/>
        </w:trPr>
        <w:tc>
          <w:tcPr>
            <w:tcW w:w="1701" w:type="dxa"/>
            <w:shd w:val="clear" w:color="000000" w:fill="FFFF99"/>
            <w:vAlign w:val="center"/>
          </w:tcPr>
          <w:p w14:paraId="08750C88"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C4703C"/>
                <w:sz w:val="22"/>
                <w:szCs w:val="22"/>
              </w:rPr>
              <w:t>Medium Priority</w:t>
            </w:r>
          </w:p>
        </w:tc>
        <w:tc>
          <w:tcPr>
            <w:tcW w:w="13603" w:type="dxa"/>
            <w:tcBorders>
              <w:top w:val="single" w:sz="4" w:space="0" w:color="auto"/>
              <w:bottom w:val="single" w:sz="4" w:space="0" w:color="auto"/>
              <w:right w:val="single" w:sz="4" w:space="0" w:color="auto"/>
            </w:tcBorders>
            <w:vAlign w:val="center"/>
          </w:tcPr>
          <w:p w14:paraId="0D6E77A1" w14:textId="77777777" w:rsidR="00BC4175" w:rsidRDefault="00BC4175" w:rsidP="00114A08">
            <w:pPr>
              <w:suppressAutoHyphens w:val="0"/>
              <w:spacing w:before="0" w:after="0" w:line="240" w:lineRule="auto"/>
              <w:rPr>
                <w:rFonts w:eastAsia="Arial Unicode MS"/>
                <w:b/>
                <w:bCs/>
                <w:color w:val="000000"/>
                <w:sz w:val="22"/>
                <w:szCs w:val="22"/>
                <w:lang w:eastAsia="en-GB"/>
              </w:rPr>
            </w:pPr>
            <w:r w:rsidRPr="00C060DD">
              <w:rPr>
                <w:rFonts w:eastAsia="Arial Unicode MS"/>
                <w:sz w:val="22"/>
                <w:szCs w:val="22"/>
                <w:lang w:eastAsia="en-GB"/>
              </w:rPr>
              <w:t>Internal controls should be strengthened to minimise risk</w:t>
            </w:r>
            <w:r w:rsidRPr="00C060DD">
              <w:rPr>
                <w:rFonts w:eastAsia="Arial Unicode MS"/>
                <w:b/>
                <w:bCs/>
                <w:sz w:val="22"/>
                <w:szCs w:val="22"/>
                <w:lang w:eastAsia="en-GB"/>
              </w:rPr>
              <w:t>.</w:t>
            </w:r>
          </w:p>
        </w:tc>
      </w:tr>
      <w:tr w:rsidR="00BC4175" w14:paraId="18B51C6B" w14:textId="77777777" w:rsidTr="00114A08">
        <w:trPr>
          <w:trHeight w:val="421"/>
        </w:trPr>
        <w:tc>
          <w:tcPr>
            <w:tcW w:w="1701" w:type="dxa"/>
            <w:shd w:val="clear" w:color="000000" w:fill="CDEDD3"/>
            <w:vAlign w:val="center"/>
          </w:tcPr>
          <w:p w14:paraId="5241427A"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215F2E"/>
                <w:sz w:val="22"/>
                <w:szCs w:val="22"/>
              </w:rPr>
              <w:t>Low Priority</w:t>
            </w:r>
          </w:p>
        </w:tc>
        <w:tc>
          <w:tcPr>
            <w:tcW w:w="13603" w:type="dxa"/>
            <w:tcBorders>
              <w:top w:val="single" w:sz="4" w:space="0" w:color="auto"/>
              <w:bottom w:val="single" w:sz="4" w:space="0" w:color="auto"/>
              <w:right w:val="single" w:sz="4" w:space="0" w:color="auto"/>
            </w:tcBorders>
            <w:shd w:val="clear" w:color="auto" w:fill="auto"/>
            <w:vAlign w:val="center"/>
          </w:tcPr>
          <w:p w14:paraId="2CA03244" w14:textId="77777777" w:rsidR="00BC4175" w:rsidRPr="00D03E1E" w:rsidRDefault="00BC4175" w:rsidP="00114A08">
            <w:pPr>
              <w:suppressAutoHyphens w:val="0"/>
              <w:spacing w:before="0" w:after="0" w:line="240" w:lineRule="auto"/>
              <w:rPr>
                <w:rFonts w:eastAsia="Arial Unicode MS"/>
                <w:sz w:val="22"/>
                <w:szCs w:val="22"/>
                <w:lang w:eastAsia="en-GB"/>
              </w:rPr>
            </w:pPr>
            <w:r w:rsidRPr="006D2C43">
              <w:rPr>
                <w:rFonts w:eastAsia="Arial Unicode MS"/>
                <w:sz w:val="22"/>
                <w:szCs w:val="22"/>
                <w:lang w:eastAsia="en-GB"/>
              </w:rPr>
              <w:t>Internal control could be strengthened in line with best practice, but little risk of material loss.</w:t>
            </w:r>
          </w:p>
        </w:tc>
      </w:tr>
      <w:tr w:rsidR="00114A08" w:rsidRPr="00F47234" w14:paraId="0F57F91A" w14:textId="77777777" w:rsidTr="00114A08">
        <w:tblPrEx>
          <w:tblBorders>
            <w:right w:val="single" w:sz="4" w:space="0" w:color="auto"/>
          </w:tblBorders>
          <w:tblCellMar>
            <w:top w:w="0" w:type="dxa"/>
          </w:tblCellMar>
        </w:tblPrEx>
        <w:trPr>
          <w:trHeight w:val="657"/>
        </w:trPr>
        <w:tc>
          <w:tcPr>
            <w:tcW w:w="1701" w:type="dxa"/>
            <w:vAlign w:val="center"/>
          </w:tcPr>
          <w:p w14:paraId="770FF3CF" w14:textId="77777777" w:rsidR="00114A08" w:rsidRPr="00114A08" w:rsidRDefault="00114A08" w:rsidP="00114A08">
            <w:pPr>
              <w:suppressAutoHyphens w:val="0"/>
              <w:spacing w:before="0" w:after="0" w:line="240" w:lineRule="auto"/>
              <w:rPr>
                <w:rFonts w:cs="Calibri"/>
                <w:color w:val="215F2E"/>
                <w:sz w:val="22"/>
                <w:szCs w:val="22"/>
              </w:rPr>
            </w:pPr>
            <w:r w:rsidRPr="00114A08">
              <w:rPr>
                <w:rFonts w:cs="Calibri"/>
                <w:sz w:val="22"/>
                <w:szCs w:val="22"/>
              </w:rPr>
              <w:t>Note/area of consideration</w:t>
            </w:r>
          </w:p>
        </w:tc>
        <w:tc>
          <w:tcPr>
            <w:tcW w:w="13603" w:type="dxa"/>
            <w:vAlign w:val="center"/>
          </w:tcPr>
          <w:p w14:paraId="3A093C38" w14:textId="77777777" w:rsidR="00114A08" w:rsidRPr="00114A08" w:rsidRDefault="00114A08" w:rsidP="00114A08">
            <w:pPr>
              <w:suppressAutoHyphens w:val="0"/>
              <w:spacing w:before="0" w:after="0" w:line="240" w:lineRule="auto"/>
              <w:rPr>
                <w:rFonts w:cs="Calibri"/>
                <w:color w:val="215F2E"/>
                <w:sz w:val="22"/>
                <w:szCs w:val="22"/>
              </w:rPr>
            </w:pPr>
            <w:r w:rsidRPr="00114A08">
              <w:rPr>
                <w:rFonts w:cs="Calibri"/>
                <w:sz w:val="22"/>
                <w:szCs w:val="22"/>
              </w:rPr>
              <w:t>Comment for information only</w:t>
            </w:r>
          </w:p>
        </w:tc>
      </w:tr>
    </w:tbl>
    <w:p w14:paraId="3CFC1C3C" w14:textId="77777777" w:rsidR="00114A08" w:rsidRDefault="00114A08" w:rsidP="00114A08"/>
    <w:p w14:paraId="2ED3EFB5" w14:textId="77777777" w:rsidR="00383937" w:rsidRDefault="00383937" w:rsidP="00114A08"/>
    <w:p w14:paraId="139FB84A" w14:textId="77777777" w:rsidR="003B04C6" w:rsidRDefault="003B04C6" w:rsidP="00114A08"/>
    <w:p w14:paraId="716DB7EF" w14:textId="77777777" w:rsidR="00C623DF" w:rsidRDefault="00C623DF">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19364FDA" w14:textId="77777777" w:rsidR="00D50B64" w:rsidRDefault="00D50B64" w:rsidP="00143CE0">
      <w:pPr>
        <w:pStyle w:val="Sub-heading"/>
      </w:pPr>
      <w:r w:rsidRPr="00BC4175">
        <w:lastRenderedPageBreak/>
        <w:t>Summary of Findings</w:t>
      </w:r>
    </w:p>
    <w:tbl>
      <w:tblPr>
        <w:tblStyle w:val="TableGrid"/>
        <w:tblW w:w="15311" w:type="dxa"/>
        <w:tblInd w:w="-5" w:type="dxa"/>
        <w:tblLook w:val="04A0" w:firstRow="1" w:lastRow="0" w:firstColumn="1" w:lastColumn="0" w:noHBand="0" w:noVBand="1"/>
      </w:tblPr>
      <w:tblGrid>
        <w:gridCol w:w="1706"/>
        <w:gridCol w:w="6802"/>
        <w:gridCol w:w="1701"/>
        <w:gridCol w:w="5102"/>
      </w:tblGrid>
      <w:tr w:rsidR="00BC4175" w:rsidRPr="00BC4175" w14:paraId="1342B9A4" w14:textId="77777777" w:rsidTr="00E70F39">
        <w:trPr>
          <w:cantSplit/>
          <w:trHeight w:val="366"/>
          <w:tblHeader/>
        </w:trPr>
        <w:tc>
          <w:tcPr>
            <w:tcW w:w="1706" w:type="dxa"/>
            <w:shd w:val="clear" w:color="auto" w:fill="D9D9D9" w:themeFill="background2" w:themeFillShade="D9"/>
            <w:vAlign w:val="center"/>
          </w:tcPr>
          <w:p w14:paraId="53A213C5"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RAG</w:t>
            </w:r>
          </w:p>
        </w:tc>
        <w:tc>
          <w:tcPr>
            <w:tcW w:w="6802" w:type="dxa"/>
            <w:shd w:val="clear" w:color="auto" w:fill="D9D9D9" w:themeFill="background2" w:themeFillShade="D9"/>
            <w:vAlign w:val="center"/>
          </w:tcPr>
          <w:p w14:paraId="0BDD418A"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4227FDDC"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Recommendation</w:t>
            </w:r>
          </w:p>
        </w:tc>
      </w:tr>
      <w:tr w:rsidR="00BC4175" w:rsidRPr="00BC4175" w14:paraId="6977F29E" w14:textId="77777777" w:rsidTr="00E70F39">
        <w:trPr>
          <w:cantSplit/>
          <w:trHeight w:val="454"/>
        </w:trPr>
        <w:tc>
          <w:tcPr>
            <w:tcW w:w="15311" w:type="dxa"/>
            <w:gridSpan w:val="4"/>
            <w:shd w:val="clear" w:color="auto" w:fill="2C1B57" w:themeFill="accent1" w:themeFillTint="E6"/>
          </w:tcPr>
          <w:p w14:paraId="01D87E75" w14:textId="1B5AFD8C" w:rsidR="00BC4175" w:rsidRPr="00BC4175" w:rsidRDefault="00C145BD" w:rsidP="00BC4175">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bookmarkStart w:id="0" w:name="_Hlk115696504"/>
            <w:r>
              <w:rPr>
                <w:rFonts w:ascii="Franklin Gothic Medium" w:eastAsia="Arial Unicode MS" w:hAnsi="Franklin Gothic Medium" w:cs="Times New Roman (Headings CS)"/>
                <w:color w:val="FFFFFF" w:themeColor="background1"/>
                <w:sz w:val="28"/>
                <w:szCs w:val="30"/>
              </w:rPr>
              <w:t>Governance Framework</w:t>
            </w:r>
            <w:r w:rsidR="002842CB">
              <w:rPr>
                <w:rFonts w:ascii="Franklin Gothic Medium" w:eastAsia="Arial Unicode MS" w:hAnsi="Franklin Gothic Medium" w:cs="Times New Roman (Headings CS)"/>
                <w:color w:val="FFFFFF" w:themeColor="background1"/>
                <w:sz w:val="28"/>
                <w:szCs w:val="30"/>
              </w:rPr>
              <w:t xml:space="preserve"> 1</w:t>
            </w:r>
          </w:p>
        </w:tc>
      </w:tr>
      <w:bookmarkEnd w:id="0"/>
      <w:tr w:rsidR="00E70F39" w:rsidRPr="00BC4175" w14:paraId="389E6F68" w14:textId="77777777" w:rsidTr="00E70F39">
        <w:trPr>
          <w:cantSplit/>
        </w:trPr>
        <w:tc>
          <w:tcPr>
            <w:tcW w:w="1706" w:type="dxa"/>
            <w:shd w:val="clear" w:color="000000" w:fill="CDEDD3"/>
            <w:vAlign w:val="center"/>
          </w:tcPr>
          <w:p w14:paraId="39A3865F" w14:textId="2F7AB190" w:rsidR="00E70F39" w:rsidRPr="009E688A" w:rsidRDefault="00E70F39" w:rsidP="00E70F39">
            <w:pPr>
              <w:keepNext/>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nil"/>
              <w:bottom w:val="single" w:sz="4" w:space="0" w:color="auto"/>
              <w:right w:val="single" w:sz="4" w:space="0" w:color="auto"/>
            </w:tcBorders>
            <w:shd w:val="clear" w:color="auto" w:fill="auto"/>
          </w:tcPr>
          <w:p w14:paraId="2EA73C1F" w14:textId="77777777" w:rsidR="00E70F39" w:rsidRDefault="00E70F39" w:rsidP="00E70F39">
            <w:pPr>
              <w:keepNext/>
              <w:rPr>
                <w:sz w:val="22"/>
                <w:szCs w:val="26"/>
              </w:rPr>
            </w:pPr>
            <w:r>
              <w:rPr>
                <w:sz w:val="22"/>
                <w:szCs w:val="26"/>
              </w:rPr>
              <w:t>The following policies have not been reviewed and approved by trustees in the past twelve months:</w:t>
            </w:r>
          </w:p>
          <w:p w14:paraId="1E6923DD" w14:textId="77777777" w:rsidR="00E70F39" w:rsidRDefault="00E70F39" w:rsidP="00E70F39">
            <w:pPr>
              <w:pStyle w:val="ListParagraph"/>
              <w:keepNext/>
              <w:numPr>
                <w:ilvl w:val="0"/>
                <w:numId w:val="4"/>
              </w:numPr>
              <w:rPr>
                <w:sz w:val="22"/>
                <w:szCs w:val="26"/>
              </w:rPr>
            </w:pPr>
            <w:r>
              <w:rPr>
                <w:sz w:val="22"/>
                <w:szCs w:val="26"/>
              </w:rPr>
              <w:t>Gifts &amp; Hospitality</w:t>
            </w:r>
          </w:p>
          <w:p w14:paraId="1F34866D" w14:textId="77777777" w:rsidR="00E70F39" w:rsidRDefault="00E70F39" w:rsidP="00E70F39">
            <w:pPr>
              <w:pStyle w:val="ListParagraph"/>
              <w:keepNext/>
              <w:numPr>
                <w:ilvl w:val="0"/>
                <w:numId w:val="4"/>
              </w:numPr>
              <w:rPr>
                <w:sz w:val="22"/>
                <w:szCs w:val="26"/>
              </w:rPr>
            </w:pPr>
            <w:r>
              <w:rPr>
                <w:sz w:val="22"/>
                <w:szCs w:val="26"/>
              </w:rPr>
              <w:t>Whistleblowing policy</w:t>
            </w:r>
          </w:p>
          <w:p w14:paraId="5166B55D" w14:textId="6E5B9198" w:rsidR="00E70F39" w:rsidRPr="008803AE" w:rsidRDefault="00E70F39" w:rsidP="00E70F39">
            <w:pPr>
              <w:keepNext/>
              <w:rPr>
                <w:sz w:val="22"/>
                <w:szCs w:val="26"/>
              </w:rPr>
            </w:pPr>
            <w:r>
              <w:rPr>
                <w:sz w:val="22"/>
                <w:szCs w:val="26"/>
              </w:rPr>
              <w:t>The Whistleblowing Policy was also not published on the academy website.</w:t>
            </w:r>
          </w:p>
        </w:tc>
        <w:tc>
          <w:tcPr>
            <w:tcW w:w="6803" w:type="dxa"/>
            <w:gridSpan w:val="2"/>
            <w:tcBorders>
              <w:top w:val="single" w:sz="4" w:space="0" w:color="auto"/>
              <w:left w:val="nil"/>
              <w:bottom w:val="single" w:sz="4" w:space="0" w:color="auto"/>
              <w:right w:val="single" w:sz="4" w:space="0" w:color="auto"/>
            </w:tcBorders>
            <w:shd w:val="clear" w:color="auto" w:fill="auto"/>
          </w:tcPr>
          <w:p w14:paraId="02E14B57" w14:textId="7357B5E0" w:rsidR="00E70F39" w:rsidRDefault="00E70F39" w:rsidP="00E70F39">
            <w:pPr>
              <w:keepNext/>
              <w:rPr>
                <w:sz w:val="22"/>
                <w:szCs w:val="26"/>
              </w:rPr>
            </w:pPr>
            <w:r w:rsidRPr="00E12B0D">
              <w:rPr>
                <w:sz w:val="22"/>
                <w:szCs w:val="26"/>
              </w:rPr>
              <w:t>It is advisable to review the</w:t>
            </w:r>
            <w:r>
              <w:rPr>
                <w:sz w:val="22"/>
                <w:szCs w:val="26"/>
              </w:rPr>
              <w:t xml:space="preserve"> policies </w:t>
            </w:r>
            <w:r w:rsidRPr="00E12B0D">
              <w:rPr>
                <w:sz w:val="22"/>
                <w:szCs w:val="26"/>
              </w:rPr>
              <w:t xml:space="preserve">at least every </w:t>
            </w:r>
            <w:r>
              <w:rPr>
                <w:sz w:val="22"/>
                <w:szCs w:val="26"/>
              </w:rPr>
              <w:t>twelve</w:t>
            </w:r>
            <w:r w:rsidRPr="00E12B0D">
              <w:rPr>
                <w:sz w:val="22"/>
                <w:szCs w:val="26"/>
              </w:rPr>
              <w:t xml:space="preserve"> months.</w:t>
            </w:r>
          </w:p>
          <w:p w14:paraId="3D3FEED6" w14:textId="77777777" w:rsidR="003D5725" w:rsidRDefault="003D5725" w:rsidP="00E70F39">
            <w:pPr>
              <w:keepNext/>
              <w:rPr>
                <w:sz w:val="22"/>
                <w:szCs w:val="26"/>
              </w:rPr>
            </w:pPr>
          </w:p>
          <w:p w14:paraId="7DEE68F3" w14:textId="77777777" w:rsidR="003D5725" w:rsidRDefault="003D5725" w:rsidP="00E70F39">
            <w:pPr>
              <w:keepNext/>
              <w:rPr>
                <w:sz w:val="22"/>
                <w:szCs w:val="26"/>
              </w:rPr>
            </w:pPr>
          </w:p>
          <w:p w14:paraId="6C489C3B" w14:textId="38F29740" w:rsidR="00E70F39" w:rsidRPr="00BC4175" w:rsidRDefault="00E70F39" w:rsidP="00E70F39">
            <w:pPr>
              <w:keepNext/>
              <w:rPr>
                <w:sz w:val="22"/>
                <w:szCs w:val="26"/>
              </w:rPr>
            </w:pPr>
            <w:r w:rsidRPr="008803AE">
              <w:rPr>
                <w:sz w:val="22"/>
                <w:szCs w:val="26"/>
              </w:rPr>
              <w:t>Section 2.40 of the Academy trust handbook states that the trustees must agree a procedure for whistleblowing, and publish it on the</w:t>
            </w:r>
            <w:r>
              <w:rPr>
                <w:sz w:val="22"/>
                <w:szCs w:val="26"/>
              </w:rPr>
              <w:t xml:space="preserve"> </w:t>
            </w:r>
            <w:r w:rsidRPr="008803AE">
              <w:rPr>
                <w:sz w:val="22"/>
                <w:szCs w:val="26"/>
              </w:rPr>
              <w:t>trust’s website</w:t>
            </w:r>
          </w:p>
        </w:tc>
      </w:tr>
      <w:tr w:rsidR="00E70F39" w:rsidRPr="00BC4175" w14:paraId="3757CD8A" w14:textId="77777777" w:rsidTr="00E70F39">
        <w:trPr>
          <w:cantSplit/>
          <w:trHeight w:val="426"/>
        </w:trPr>
        <w:tc>
          <w:tcPr>
            <w:tcW w:w="1706" w:type="dxa"/>
            <w:shd w:val="clear" w:color="auto" w:fill="auto"/>
          </w:tcPr>
          <w:p w14:paraId="3124B8E1" w14:textId="77777777" w:rsidR="00E70F39" w:rsidRPr="00BC4175" w:rsidRDefault="00E70F39" w:rsidP="00E70F39">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68D5703E" w14:textId="77777777" w:rsidR="00E70F39" w:rsidRPr="00BC4175" w:rsidRDefault="00E70F39" w:rsidP="00E70F39">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5F3FF8ED" w14:textId="77777777" w:rsidR="00E70F39" w:rsidRPr="00BC4175" w:rsidRDefault="00E70F39" w:rsidP="00E70F39">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343D8659" w14:textId="77777777" w:rsidR="00E70F39" w:rsidRPr="00BC4175" w:rsidRDefault="00E70F39" w:rsidP="00E70F39">
            <w:pPr>
              <w:keepLines/>
              <w:spacing w:before="80" w:after="80" w:line="300" w:lineRule="exact"/>
              <w:outlineLvl w:val="0"/>
              <w:rPr>
                <w:rFonts w:eastAsia="Arial Unicode MS" w:cs="Times New Roman (Headings CS)"/>
                <w:i/>
                <w:iCs/>
                <w:sz w:val="22"/>
                <w:szCs w:val="22"/>
              </w:rPr>
            </w:pPr>
          </w:p>
        </w:tc>
      </w:tr>
      <w:tr w:rsidR="000E562F" w:rsidRPr="00BC4175" w14:paraId="55AEC3DB" w14:textId="77777777" w:rsidTr="00CB7731">
        <w:trPr>
          <w:cantSplit/>
        </w:trPr>
        <w:tc>
          <w:tcPr>
            <w:tcW w:w="1706" w:type="dxa"/>
            <w:shd w:val="clear" w:color="000000" w:fill="CDEDD3"/>
            <w:vAlign w:val="center"/>
          </w:tcPr>
          <w:p w14:paraId="2632168F" w14:textId="7741292D" w:rsidR="000E562F" w:rsidRPr="009E688A" w:rsidRDefault="000E562F" w:rsidP="000E562F">
            <w:pPr>
              <w:keepNext/>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6A983048" w14:textId="6E962C06" w:rsidR="000E562F" w:rsidRPr="000E562F" w:rsidRDefault="000E562F" w:rsidP="000E562F">
            <w:pPr>
              <w:keepNext/>
              <w:rPr>
                <w:sz w:val="22"/>
                <w:szCs w:val="26"/>
              </w:rPr>
            </w:pPr>
            <w:r w:rsidRPr="000E562F">
              <w:rPr>
                <w:rFonts w:cs="Calibri"/>
                <w:color w:val="1A1A1A"/>
                <w:sz w:val="22"/>
                <w:szCs w:val="22"/>
              </w:rPr>
              <w:t>The academy’s register of interests does not include all required information as stipulated in the Academy trust handbook.</w:t>
            </w:r>
          </w:p>
        </w:tc>
        <w:tc>
          <w:tcPr>
            <w:tcW w:w="6803" w:type="dxa"/>
            <w:gridSpan w:val="2"/>
            <w:tcBorders>
              <w:top w:val="single" w:sz="4" w:space="0" w:color="auto"/>
              <w:left w:val="nil"/>
              <w:bottom w:val="single" w:sz="4" w:space="0" w:color="auto"/>
              <w:right w:val="single" w:sz="4" w:space="0" w:color="auto"/>
            </w:tcBorders>
            <w:shd w:val="clear" w:color="auto" w:fill="auto"/>
          </w:tcPr>
          <w:p w14:paraId="6B812D2B" w14:textId="0A4D8698" w:rsidR="000E562F" w:rsidRPr="000E562F" w:rsidRDefault="000E562F" w:rsidP="000E562F">
            <w:pPr>
              <w:keepNext/>
              <w:rPr>
                <w:sz w:val="22"/>
                <w:szCs w:val="26"/>
              </w:rPr>
            </w:pPr>
            <w:r w:rsidRPr="000E562F">
              <w:rPr>
                <w:rFonts w:cs="Calibri"/>
                <w:color w:val="1A1A1A"/>
                <w:sz w:val="22"/>
                <w:szCs w:val="22"/>
              </w:rPr>
              <w:t>Section 5.45 of the Academy trust handbook states "The academy trust’s register of interests must capture relevant business and pecuniary interests of members, trustees, local governors and senior employees including:</w:t>
            </w:r>
            <w:r w:rsidRPr="000E562F">
              <w:rPr>
                <w:rFonts w:cs="Calibri"/>
                <w:color w:val="1A1A1A"/>
                <w:sz w:val="22"/>
                <w:szCs w:val="22"/>
              </w:rPr>
              <w:br/>
            </w:r>
            <w:r w:rsidRPr="000E562F">
              <w:rPr>
                <w:rFonts w:cs="Calibri"/>
                <w:color w:val="1A1A1A"/>
                <w:sz w:val="22"/>
                <w:szCs w:val="22"/>
              </w:rPr>
              <w:br/>
              <w:t>• directorships, partnerships and employments with businesses</w:t>
            </w:r>
            <w:r w:rsidRPr="000E562F">
              <w:rPr>
                <w:rFonts w:cs="Calibri"/>
                <w:color w:val="1A1A1A"/>
                <w:sz w:val="22"/>
                <w:szCs w:val="22"/>
              </w:rPr>
              <w:br/>
              <w:t xml:space="preserve">• trusteeships and governorships at other educational institutions and charities </w:t>
            </w:r>
            <w:r w:rsidRPr="000E562F">
              <w:rPr>
                <w:rFonts w:cs="Calibri"/>
                <w:color w:val="1A1A1A"/>
                <w:sz w:val="22"/>
                <w:szCs w:val="22"/>
              </w:rPr>
              <w:br/>
              <w:t>• for each interest: the name and nature of the business, the nature of the interest and</w:t>
            </w:r>
            <w:r w:rsidRPr="006E573D">
              <w:rPr>
                <w:rFonts w:cs="Calibri"/>
                <w:color w:val="1A1A1A"/>
                <w:sz w:val="22"/>
                <w:szCs w:val="22"/>
              </w:rPr>
              <w:t xml:space="preserve"> </w:t>
            </w:r>
            <w:r w:rsidRPr="000E562F">
              <w:rPr>
                <w:rFonts w:cs="Calibri"/>
                <w:color w:val="1A1A1A"/>
                <w:sz w:val="22"/>
                <w:szCs w:val="22"/>
                <w:u w:val="single"/>
              </w:rPr>
              <w:t>the date the interest began"</w:t>
            </w:r>
          </w:p>
        </w:tc>
      </w:tr>
      <w:tr w:rsidR="000E562F" w:rsidRPr="00BC4175" w14:paraId="3BA60EC9" w14:textId="77777777" w:rsidTr="00850967">
        <w:trPr>
          <w:cantSplit/>
          <w:trHeight w:val="426"/>
        </w:trPr>
        <w:tc>
          <w:tcPr>
            <w:tcW w:w="1706" w:type="dxa"/>
            <w:shd w:val="clear" w:color="auto" w:fill="auto"/>
          </w:tcPr>
          <w:p w14:paraId="2C9C7E81" w14:textId="77777777" w:rsidR="000E562F" w:rsidRPr="00BC4175" w:rsidRDefault="000E562F" w:rsidP="000E562F">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0AADDB74" w14:textId="77777777" w:rsidR="000E562F" w:rsidRPr="00BC4175" w:rsidRDefault="000E562F" w:rsidP="000E562F">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4AC8BAA5" w14:textId="77777777" w:rsidR="000E562F" w:rsidRPr="00BC4175" w:rsidRDefault="000E562F" w:rsidP="000E562F">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11AD2D0D" w14:textId="77777777" w:rsidR="000E562F" w:rsidRPr="00BC4175" w:rsidRDefault="000E562F" w:rsidP="000E562F">
            <w:pPr>
              <w:keepLines/>
              <w:spacing w:before="80" w:after="80" w:line="300" w:lineRule="exact"/>
              <w:outlineLvl w:val="0"/>
              <w:rPr>
                <w:rFonts w:eastAsia="Arial Unicode MS" w:cs="Times New Roman (Headings CS)"/>
                <w:i/>
                <w:iCs/>
                <w:sz w:val="22"/>
                <w:szCs w:val="22"/>
              </w:rPr>
            </w:pPr>
          </w:p>
        </w:tc>
      </w:tr>
    </w:tbl>
    <w:p w14:paraId="7D47C0D4" w14:textId="77777777" w:rsidR="002842CB" w:rsidRDefault="002842CB">
      <w:r>
        <w:br w:type="page"/>
      </w:r>
    </w:p>
    <w:tbl>
      <w:tblPr>
        <w:tblStyle w:val="TableGrid"/>
        <w:tblW w:w="15306" w:type="dxa"/>
        <w:tblLook w:val="04A0" w:firstRow="1" w:lastRow="0" w:firstColumn="1" w:lastColumn="0" w:noHBand="0" w:noVBand="1"/>
      </w:tblPr>
      <w:tblGrid>
        <w:gridCol w:w="15306"/>
      </w:tblGrid>
      <w:tr w:rsidR="008010C9" w:rsidRPr="00BC4175" w14:paraId="6579A0B3" w14:textId="77777777" w:rsidTr="00127A61">
        <w:trPr>
          <w:cantSplit/>
          <w:trHeight w:val="454"/>
        </w:trPr>
        <w:tc>
          <w:tcPr>
            <w:tcW w:w="15306" w:type="dxa"/>
            <w:shd w:val="clear" w:color="auto" w:fill="2C1B57" w:themeFill="accent1" w:themeFillTint="E6"/>
          </w:tcPr>
          <w:p w14:paraId="628D6572" w14:textId="2FE84910" w:rsidR="008010C9" w:rsidRPr="00BC4175" w:rsidRDefault="002842CB" w:rsidP="00127A61">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lastRenderedPageBreak/>
              <w:t>Banking</w:t>
            </w:r>
          </w:p>
        </w:tc>
      </w:tr>
      <w:tr w:rsidR="008010C9" w:rsidRPr="00BC4175" w14:paraId="190C35D5" w14:textId="77777777" w:rsidTr="00127A61">
        <w:trPr>
          <w:cantSplit/>
        </w:trPr>
        <w:tc>
          <w:tcPr>
            <w:tcW w:w="15306" w:type="dxa"/>
            <w:shd w:val="clear" w:color="auto" w:fill="auto"/>
            <w:vAlign w:val="center"/>
          </w:tcPr>
          <w:p w14:paraId="776FDA07" w14:textId="77777777" w:rsidR="008010C9" w:rsidRPr="00BC4175" w:rsidRDefault="008010C9" w:rsidP="00127A61">
            <w:pPr>
              <w:spacing w:line="240" w:lineRule="auto"/>
              <w:rPr>
                <w:rFonts w:eastAsia="Arial Unicode MS"/>
                <w:szCs w:val="20"/>
                <w:highlight w:val="yellow"/>
              </w:rPr>
            </w:pPr>
            <w:r w:rsidRPr="00BC4175">
              <w:rPr>
                <w:rFonts w:eastAsia="Arial Unicode MS" w:cs="Arial"/>
                <w:sz w:val="22"/>
                <w:szCs w:val="22"/>
              </w:rPr>
              <w:t>Checks performed to verify items listed in the scope of work found the systems to be in order and no issues were identified.</w:t>
            </w:r>
          </w:p>
        </w:tc>
      </w:tr>
    </w:tbl>
    <w:p w14:paraId="0479E674" w14:textId="77777777" w:rsidR="00BC4175" w:rsidRDefault="00BC4175" w:rsidP="00BC4175"/>
    <w:p w14:paraId="538A9AD9" w14:textId="77777777" w:rsidR="00BC4175" w:rsidRDefault="00BC4175">
      <w:pPr>
        <w:suppressAutoHyphens w:val="0"/>
        <w:spacing w:before="0" w:after="0" w:line="240" w:lineRule="auto"/>
      </w:pPr>
      <w:r>
        <w:br w:type="page"/>
      </w:r>
    </w:p>
    <w:p w14:paraId="07636535" w14:textId="77777777" w:rsidR="001344F5" w:rsidRPr="001344F5" w:rsidRDefault="001344F5" w:rsidP="001344F5">
      <w:pPr>
        <w:keepNext/>
        <w:keepLines/>
        <w:spacing w:before="240" w:line="400" w:lineRule="exact"/>
        <w:outlineLvl w:val="0"/>
        <w:rPr>
          <w:rFonts w:ascii="Franklin Gothic Medium" w:eastAsiaTheme="majorEastAsia" w:hAnsi="Franklin Gothic Medium" w:cs="Times New Roman (Headings CS)"/>
          <w:color w:val="1C1238"/>
          <w:sz w:val="32"/>
          <w:szCs w:val="32"/>
        </w:rPr>
      </w:pPr>
      <w:r w:rsidRPr="001344F5">
        <w:rPr>
          <w:rFonts w:ascii="Franklin Gothic Medium" w:eastAsiaTheme="majorEastAsia" w:hAnsi="Franklin Gothic Medium" w:cs="Times New Roman (Headings CS)"/>
          <w:color w:val="1C1238"/>
          <w:sz w:val="32"/>
          <w:szCs w:val="32"/>
        </w:rPr>
        <w:lastRenderedPageBreak/>
        <w:t>Notes / Areas for Consideration</w:t>
      </w:r>
    </w:p>
    <w:tbl>
      <w:tblPr>
        <w:tblStyle w:val="TableGrid"/>
        <w:tblW w:w="15304" w:type="dxa"/>
        <w:tblLook w:val="04A0" w:firstRow="1" w:lastRow="0" w:firstColumn="1" w:lastColumn="0" w:noHBand="0" w:noVBand="1"/>
      </w:tblPr>
      <w:tblGrid>
        <w:gridCol w:w="1701"/>
        <w:gridCol w:w="13603"/>
      </w:tblGrid>
      <w:tr w:rsidR="001344F5" w:rsidRPr="001344F5" w14:paraId="090F35F7" w14:textId="77777777" w:rsidTr="00127A61">
        <w:trPr>
          <w:cantSplit/>
          <w:trHeight w:val="454"/>
        </w:trPr>
        <w:tc>
          <w:tcPr>
            <w:tcW w:w="15304" w:type="dxa"/>
            <w:gridSpan w:val="2"/>
            <w:shd w:val="clear" w:color="auto" w:fill="2C1B57" w:themeFill="accent1" w:themeFillTint="E6"/>
          </w:tcPr>
          <w:p w14:paraId="0B2E44B9" w14:textId="07C87E00" w:rsidR="001344F5" w:rsidRPr="001344F5" w:rsidRDefault="00A64E3F" w:rsidP="001344F5">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Governance Framework 1</w:t>
            </w:r>
            <w:r w:rsidR="001344F5" w:rsidRPr="001344F5">
              <w:rPr>
                <w:rFonts w:ascii="Franklin Gothic Medium" w:eastAsia="Arial Unicode MS" w:hAnsi="Franklin Gothic Medium" w:cs="Times New Roman (Headings CS)"/>
                <w:color w:val="FFFFFF" w:themeColor="background1"/>
                <w:sz w:val="28"/>
                <w:szCs w:val="30"/>
              </w:rPr>
              <w:t xml:space="preserve"> </w:t>
            </w:r>
          </w:p>
        </w:tc>
      </w:tr>
      <w:tr w:rsidR="00A64E3F" w:rsidRPr="001344F5" w14:paraId="21E7909B" w14:textId="77777777" w:rsidTr="00127A61">
        <w:trPr>
          <w:cantSplit/>
        </w:trPr>
        <w:tc>
          <w:tcPr>
            <w:tcW w:w="1701" w:type="dxa"/>
            <w:shd w:val="clear" w:color="auto" w:fill="auto"/>
          </w:tcPr>
          <w:p w14:paraId="27960685" w14:textId="4AFF9C17" w:rsidR="00A64E3F" w:rsidRPr="001344F5" w:rsidRDefault="00A64E3F" w:rsidP="00A64E3F">
            <w:pPr>
              <w:spacing w:line="276" w:lineRule="auto"/>
              <w:rPr>
                <w:i/>
                <w:iCs/>
                <w:highlight w:val="yellow"/>
              </w:rPr>
            </w:pPr>
            <w:r>
              <w:rPr>
                <w:sz w:val="22"/>
                <w:szCs w:val="22"/>
              </w:rPr>
              <w:t>Investment Policy</w:t>
            </w:r>
          </w:p>
        </w:tc>
        <w:tc>
          <w:tcPr>
            <w:tcW w:w="13603" w:type="dxa"/>
            <w:shd w:val="clear" w:color="auto" w:fill="auto"/>
          </w:tcPr>
          <w:p w14:paraId="4B140B3A" w14:textId="52DA930C" w:rsidR="00A64E3F" w:rsidRDefault="00A64E3F" w:rsidP="00A64E3F">
            <w:pPr>
              <w:rPr>
                <w:sz w:val="22"/>
                <w:szCs w:val="26"/>
              </w:rPr>
            </w:pPr>
            <w:r>
              <w:rPr>
                <w:sz w:val="22"/>
                <w:szCs w:val="26"/>
              </w:rPr>
              <w:t xml:space="preserve">It was advised that the academy has no investments and has no current intention to invest.  The academy should be aware of section 2.22 within the Academy trust Handbook should they be </w:t>
            </w:r>
            <w:r w:rsidR="00033C5F">
              <w:rPr>
                <w:sz w:val="22"/>
                <w:szCs w:val="26"/>
              </w:rPr>
              <w:t>able</w:t>
            </w:r>
            <w:r>
              <w:rPr>
                <w:sz w:val="22"/>
                <w:szCs w:val="26"/>
              </w:rPr>
              <w:t xml:space="preserve"> to invest in the future:</w:t>
            </w:r>
          </w:p>
          <w:p w14:paraId="4184E23A" w14:textId="4B643AF6" w:rsidR="00A64E3F" w:rsidRPr="001344F5" w:rsidRDefault="00A64E3F" w:rsidP="00A64E3F">
            <w:pPr>
              <w:suppressAutoHyphens w:val="0"/>
              <w:spacing w:before="0" w:line="240" w:lineRule="auto"/>
              <w:rPr>
                <w:rFonts w:cs="Calibri"/>
                <w:sz w:val="22"/>
                <w:szCs w:val="22"/>
                <w14:ligatures w14:val="none"/>
              </w:rPr>
            </w:pPr>
            <w:r>
              <w:rPr>
                <w:sz w:val="22"/>
                <w:szCs w:val="26"/>
              </w:rPr>
              <w:t>“</w:t>
            </w:r>
            <w:r w:rsidRPr="00586AD7">
              <w:rPr>
                <w:sz w:val="22"/>
                <w:szCs w:val="26"/>
              </w:rPr>
              <w:t>The board of trustees may invest to further the trust’s charitable aims but must ensure investment risk is properly managed. When considering an investment, the board must</w:t>
            </w:r>
            <w:r>
              <w:rPr>
                <w:sz w:val="22"/>
                <w:szCs w:val="26"/>
              </w:rPr>
              <w:t xml:space="preserve"> </w:t>
            </w:r>
            <w:r w:rsidRPr="00586AD7">
              <w:rPr>
                <w:sz w:val="22"/>
                <w:szCs w:val="26"/>
              </w:rPr>
              <w:t xml:space="preserve">have an investment policy to manage and track its financial </w:t>
            </w:r>
            <w:r w:rsidR="00033C5F" w:rsidRPr="00586AD7">
              <w:rPr>
                <w:sz w:val="22"/>
                <w:szCs w:val="26"/>
              </w:rPr>
              <w:t>exposure and</w:t>
            </w:r>
            <w:r w:rsidRPr="00586AD7">
              <w:rPr>
                <w:sz w:val="22"/>
                <w:szCs w:val="26"/>
              </w:rPr>
              <w:t xml:space="preserve"> ensure value for money</w:t>
            </w:r>
            <w:r>
              <w:rPr>
                <w:sz w:val="22"/>
                <w:szCs w:val="26"/>
              </w:rPr>
              <w:t>.”</w:t>
            </w:r>
          </w:p>
        </w:tc>
      </w:tr>
    </w:tbl>
    <w:p w14:paraId="6DBC8D81" w14:textId="77777777" w:rsidR="001344F5" w:rsidRPr="001344F5" w:rsidRDefault="001344F5" w:rsidP="001344F5">
      <w:pPr>
        <w:suppressAutoHyphens w:val="0"/>
        <w:spacing w:before="0" w:after="0" w:line="240" w:lineRule="auto"/>
        <w:rPr>
          <w:rFonts w:ascii="Franklin Gothic Medium" w:eastAsia="Arial Unicode MS" w:hAnsi="Franklin Gothic Medium" w:cs="Times New Roman (Headings CS)"/>
          <w:color w:val="1C1238"/>
          <w:sz w:val="32"/>
          <w:szCs w:val="32"/>
        </w:rPr>
      </w:pPr>
    </w:p>
    <w:p w14:paraId="758D8F7C" w14:textId="77777777" w:rsidR="00D50B64" w:rsidRPr="00B87A87" w:rsidRDefault="001344F5" w:rsidP="00B87A87">
      <w:pPr>
        <w:suppressAutoHyphens w:val="0"/>
        <w:spacing w:before="0" w:after="0" w:line="240" w:lineRule="auto"/>
        <w:rPr>
          <w:rFonts w:ascii="Franklin Gothic Medium" w:eastAsia="Arial Unicode MS" w:hAnsi="Franklin Gothic Medium" w:cs="Times New Roman (Headings CS)"/>
          <w:caps/>
          <w:color w:val="1C1238"/>
          <w:sz w:val="40"/>
          <w:szCs w:val="32"/>
        </w:rPr>
      </w:pPr>
      <w:r w:rsidRPr="001344F5">
        <w:rPr>
          <w:rFonts w:eastAsia="Arial Unicode MS"/>
        </w:rPr>
        <w:br w:type="page"/>
      </w:r>
    </w:p>
    <w:p w14:paraId="52C6918A" w14:textId="77777777" w:rsidR="00D50B64" w:rsidRDefault="00D50B64" w:rsidP="00143CE0">
      <w:pPr>
        <w:pStyle w:val="Sub-heading"/>
      </w:pPr>
      <w:r>
        <w:lastRenderedPageBreak/>
        <w:t>K</w:t>
      </w:r>
      <w:r w:rsidR="00272763">
        <w:t>ey Contacts</w:t>
      </w:r>
    </w:p>
    <w:tbl>
      <w:tblPr>
        <w:tblW w:w="13520" w:type="dxa"/>
        <w:jc w:val="center"/>
        <w:tblLayout w:type="fixed"/>
        <w:tblCellMar>
          <w:left w:w="10" w:type="dxa"/>
          <w:right w:w="10" w:type="dxa"/>
        </w:tblCellMar>
        <w:tblLook w:val="0000" w:firstRow="0" w:lastRow="0" w:firstColumn="0" w:lastColumn="0" w:noHBand="0" w:noVBand="0"/>
      </w:tblPr>
      <w:tblGrid>
        <w:gridCol w:w="4817"/>
        <w:gridCol w:w="8703"/>
      </w:tblGrid>
      <w:tr w:rsidR="00E276A2" w14:paraId="4CC13B61"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A68DEA"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Juniper Education Review Consultant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F3BAD"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S Smith</w:t>
            </w:r>
          </w:p>
        </w:tc>
      </w:tr>
      <w:tr w:rsidR="00E276A2" w14:paraId="429C9773"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0FE8C8"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Juniper Review Programme Manager</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213C0"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J Ward FCCA</w:t>
            </w:r>
          </w:p>
        </w:tc>
      </w:tr>
      <w:tr w:rsidR="00E276A2" w14:paraId="54E9522C"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6AE36F"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Information Provided by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3C5D4"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Chief Finance &amp; Operations Officer &amp; Finance Manager (S Hatton)</w:t>
            </w:r>
          </w:p>
        </w:tc>
      </w:tr>
      <w:tr w:rsidR="00E276A2" w14:paraId="366D29A3"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023B14"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Exit meeting attended by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1209D"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Chief Finance &amp; Operations Officer &amp; Finance Manager (S Hatton)</w:t>
            </w:r>
          </w:p>
        </w:tc>
      </w:tr>
      <w:tr w:rsidR="00E276A2" w14:paraId="380E182C"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E31CC5"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Chair of the Board of Trustees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38123"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J Swettenham</w:t>
            </w:r>
          </w:p>
        </w:tc>
      </w:tr>
      <w:tr w:rsidR="00E276A2" w14:paraId="560CB50D"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C21E83" w14:textId="77777777" w:rsidR="00E276A2" w:rsidRDefault="00E276A2" w:rsidP="00404E18">
            <w:pPr>
              <w:rPr>
                <w:rFonts w:ascii="Franklin Gothic Medium" w:hAnsi="Franklin Gothic Medium"/>
                <w:sz w:val="22"/>
                <w:szCs w:val="26"/>
              </w:rPr>
            </w:pPr>
            <w:r w:rsidRPr="00AD7C7C">
              <w:rPr>
                <w:rFonts w:ascii="Franklin Gothic Medium" w:hAnsi="Franklin Gothic Medium"/>
                <w:sz w:val="22"/>
                <w:szCs w:val="26"/>
              </w:rPr>
              <w:t xml:space="preserve">Chair of the Resources </w:t>
            </w:r>
            <w:r>
              <w:rPr>
                <w:rFonts w:ascii="Franklin Gothic Medium" w:hAnsi="Franklin Gothic Medium"/>
                <w:sz w:val="22"/>
                <w:szCs w:val="26"/>
              </w:rPr>
              <w:t>Committee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948DB"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K Boulton</w:t>
            </w:r>
          </w:p>
        </w:tc>
      </w:tr>
      <w:tr w:rsidR="00E276A2" w14:paraId="56EC2A79"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8A961B"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Headteacher / AO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D503E"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C Costello</w:t>
            </w:r>
          </w:p>
        </w:tc>
      </w:tr>
      <w:tr w:rsidR="00E276A2" w14:paraId="63008EA6"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263687"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Chief Finance &amp; Operations Officer / CFO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B953"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S Roberts</w:t>
            </w:r>
          </w:p>
        </w:tc>
      </w:tr>
      <w:tr w:rsidR="00E276A2" w14:paraId="6D0DA0F0" w14:textId="77777777" w:rsidTr="00404E18">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6D6CEB" w14:textId="77777777" w:rsidR="00E276A2" w:rsidRDefault="00E276A2" w:rsidP="00404E18">
            <w:pPr>
              <w:rPr>
                <w:rFonts w:ascii="Franklin Gothic Medium" w:hAnsi="Franklin Gothic Medium"/>
                <w:sz w:val="22"/>
                <w:szCs w:val="26"/>
              </w:rPr>
            </w:pPr>
            <w:r>
              <w:rPr>
                <w:rFonts w:ascii="Franklin Gothic Medium" w:hAnsi="Franklin Gothic Medium"/>
                <w:sz w:val="22"/>
                <w:szCs w:val="26"/>
              </w:rPr>
              <w:t>Financial Accounting System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83B74" w14:textId="77777777" w:rsidR="00E276A2" w:rsidRDefault="00E276A2" w:rsidP="00404E18">
            <w:pPr>
              <w:spacing w:after="200" w:line="276" w:lineRule="auto"/>
              <w:rPr>
                <w:rFonts w:eastAsia="Arial Unicode MS" w:cs="Arial"/>
                <w:sz w:val="22"/>
                <w:szCs w:val="22"/>
              </w:rPr>
            </w:pPr>
            <w:r>
              <w:rPr>
                <w:rFonts w:eastAsia="Arial Unicode MS" w:cs="Arial"/>
                <w:sz w:val="22"/>
                <w:szCs w:val="22"/>
              </w:rPr>
              <w:t>FMS</w:t>
            </w:r>
          </w:p>
        </w:tc>
      </w:tr>
    </w:tbl>
    <w:p w14:paraId="02359BCC" w14:textId="77777777" w:rsidR="00E276A2" w:rsidRDefault="00E276A2" w:rsidP="00143CE0">
      <w:pPr>
        <w:pStyle w:val="Sub-heading"/>
      </w:pPr>
    </w:p>
    <w:p w14:paraId="0BC609B3" w14:textId="77777777" w:rsidR="0030573E" w:rsidRPr="00471147" w:rsidRDefault="0030573E" w:rsidP="00143CE0">
      <w:pPr>
        <w:pStyle w:val="Sub-heading"/>
      </w:pPr>
    </w:p>
    <w:p w14:paraId="51FD7A13" w14:textId="77777777" w:rsidR="0030573E" w:rsidRDefault="0030573E">
      <w:pPr>
        <w:suppressAutoHyphens w:val="0"/>
        <w:spacing w:before="0" w:after="0" w:line="240" w:lineRule="auto"/>
        <w:rPr>
          <w:rFonts w:eastAsia="Arial Unicode MS"/>
          <w:b/>
          <w:color w:val="3C3060"/>
          <w:sz w:val="40"/>
          <w:szCs w:val="40"/>
        </w:rPr>
      </w:pPr>
      <w:r>
        <w:rPr>
          <w:rFonts w:eastAsia="Arial Unicode MS"/>
          <w:b/>
          <w:color w:val="3C3060"/>
          <w:sz w:val="40"/>
          <w:szCs w:val="40"/>
        </w:rPr>
        <w:br w:type="page"/>
      </w:r>
    </w:p>
    <w:p w14:paraId="40195E12" w14:textId="31EC5173" w:rsidR="00D50B64" w:rsidRDefault="00D50B64" w:rsidP="00D50B64">
      <w:pPr>
        <w:spacing w:line="276" w:lineRule="auto"/>
        <w:rPr>
          <w:rFonts w:eastAsia="Arial Unicode MS"/>
          <w:b/>
          <w:color w:val="3C3060"/>
          <w:sz w:val="32"/>
          <w:szCs w:val="32"/>
        </w:rPr>
      </w:pPr>
      <w:r w:rsidRPr="00B269F9">
        <w:rPr>
          <w:rFonts w:eastAsia="Arial Unicode MS"/>
          <w:b/>
          <w:color w:val="3C3060"/>
          <w:sz w:val="40"/>
          <w:szCs w:val="40"/>
        </w:rPr>
        <w:lastRenderedPageBreak/>
        <w:t xml:space="preserve">EMERGING ISSUES </w:t>
      </w:r>
    </w:p>
    <w:p w14:paraId="283AB78D" w14:textId="77777777" w:rsidR="00AB12B9" w:rsidRPr="002A056D" w:rsidRDefault="00AB12B9" w:rsidP="00AB12B9">
      <w:pPr>
        <w:pStyle w:val="Sub-heading"/>
      </w:pPr>
      <w:r w:rsidRPr="002A056D">
        <w:t>Acquiring and Converting a New School</w:t>
      </w:r>
    </w:p>
    <w:p w14:paraId="6FA05BFC" w14:textId="77777777" w:rsidR="00AB12B9" w:rsidRPr="002A056D" w:rsidRDefault="00AB12B9" w:rsidP="00AB12B9">
      <w:pPr>
        <w:rPr>
          <w:sz w:val="22"/>
          <w:szCs w:val="26"/>
        </w:rPr>
      </w:pPr>
      <w:r w:rsidRPr="002A056D">
        <w:rPr>
          <w:sz w:val="22"/>
          <w:szCs w:val="26"/>
        </w:rPr>
        <w:t>An education whitepaper published in March 2022, set out the Government</w:t>
      </w:r>
      <w:r>
        <w:rPr>
          <w:sz w:val="22"/>
          <w:szCs w:val="26"/>
        </w:rPr>
        <w:t>’</w:t>
      </w:r>
      <w:r w:rsidRPr="002A056D">
        <w:rPr>
          <w:sz w:val="22"/>
          <w:szCs w:val="26"/>
        </w:rPr>
        <w:t xml:space="preserve">s ambition for all schools to be part of a multi-academy trust by 2030.  Trusts will be looking to acquire further schools.   Juniper can help with the due diligence for this process.  Please contact </w:t>
      </w:r>
      <w:hyperlink r:id="rId11" w:history="1">
        <w:r w:rsidRPr="002A056D">
          <w:rPr>
            <w:sz w:val="22"/>
            <w:szCs w:val="22"/>
            <w:u w:val="single"/>
          </w:rPr>
          <w:t>carly.quickcrockford@junipereducation.org</w:t>
        </w:r>
      </w:hyperlink>
      <w:r w:rsidRPr="002A056D">
        <w:rPr>
          <w:sz w:val="22"/>
          <w:szCs w:val="26"/>
        </w:rPr>
        <w:t xml:space="preserve"> should you require any further information.</w:t>
      </w:r>
    </w:p>
    <w:p w14:paraId="75F5C27D" w14:textId="77777777" w:rsidR="00AB12B9" w:rsidRPr="002A056D" w:rsidRDefault="00AB12B9" w:rsidP="00AB12B9">
      <w:pPr>
        <w:pStyle w:val="Sub-heading"/>
      </w:pPr>
      <w:r w:rsidRPr="002A056D">
        <w:t>Wellbeing</w:t>
      </w:r>
    </w:p>
    <w:p w14:paraId="70331DA2" w14:textId="77777777" w:rsidR="00AB12B9" w:rsidRPr="002A056D" w:rsidRDefault="00AB12B9" w:rsidP="00AB12B9">
      <w:pPr>
        <w:rPr>
          <w:sz w:val="22"/>
          <w:szCs w:val="26"/>
        </w:rPr>
      </w:pPr>
      <w:r w:rsidRPr="002A056D">
        <w:rPr>
          <w:sz w:val="22"/>
          <w:szCs w:val="22"/>
        </w:rPr>
        <w:t xml:space="preserve">It has been reported that staff stress levels are high, leading to many staff leaving the education sector altogether.   Mitigating the impact of stress in the workforce should be implemented into everyday trust life by use of a wellbeing charter and strategies and structures that are put in place.  Juniper can assess the general wellbeing of staff and provide suitable recommendations to help improve staff wellbeing and staff retention.  </w:t>
      </w:r>
      <w:r w:rsidRPr="002A056D">
        <w:rPr>
          <w:sz w:val="22"/>
          <w:szCs w:val="26"/>
        </w:rPr>
        <w:t xml:space="preserve">Please contact </w:t>
      </w:r>
      <w:hyperlink r:id="rId12" w:history="1">
        <w:r w:rsidRPr="002A056D">
          <w:rPr>
            <w:sz w:val="22"/>
            <w:szCs w:val="22"/>
            <w:u w:val="single"/>
          </w:rPr>
          <w:t>carly.quickcrockford@junipereducation.org</w:t>
        </w:r>
      </w:hyperlink>
      <w:r w:rsidRPr="002A056D">
        <w:rPr>
          <w:sz w:val="22"/>
          <w:szCs w:val="26"/>
        </w:rPr>
        <w:t xml:space="preserve"> should you require any further information.</w:t>
      </w:r>
    </w:p>
    <w:p w14:paraId="7404C32A" w14:textId="77777777" w:rsidR="00AB12B9" w:rsidRPr="002A056D" w:rsidRDefault="00AB12B9" w:rsidP="00AB12B9">
      <w:pPr>
        <w:pStyle w:val="Sub-heading"/>
      </w:pPr>
      <w:r w:rsidRPr="002A056D">
        <w:t>C</w:t>
      </w:r>
      <w:r>
        <w:t>yber Security</w:t>
      </w:r>
      <w:r w:rsidRPr="002A056D">
        <w:t xml:space="preserve"> </w:t>
      </w:r>
    </w:p>
    <w:p w14:paraId="75C01113" w14:textId="77777777" w:rsidR="00AB12B9" w:rsidRPr="002A056D" w:rsidRDefault="00AB12B9" w:rsidP="00AB12B9">
      <w:pPr>
        <w:spacing w:line="240" w:lineRule="auto"/>
        <w:rPr>
          <w:rFonts w:eastAsia="Arial Unicode MS"/>
          <w:b/>
          <w:bCs/>
          <w:color w:val="3C3060"/>
          <w:sz w:val="28"/>
          <w:szCs w:val="28"/>
          <w:lang w:eastAsia="en-GB"/>
        </w:rPr>
      </w:pPr>
      <w:r w:rsidRPr="002A056D">
        <w:rPr>
          <w:sz w:val="22"/>
          <w:szCs w:val="22"/>
        </w:rPr>
        <w:t xml:space="preserve">Cyber security has continued to be a growing area of concern and risk over the past 18 months, with more people working remotely and an increased frequency of email hacking, phishing and malvertising.  The July 2020 </w:t>
      </w:r>
      <w:hyperlink r:id="rId13" w:anchor="new-guidance-on-managing-cyber-security-risks-in-your-school" w:history="1">
        <w:r w:rsidRPr="002A056D">
          <w:rPr>
            <w:rStyle w:val="Hyperlink"/>
            <w:sz w:val="22"/>
            <w:szCs w:val="22"/>
          </w:rPr>
          <w:t>governance update</w:t>
        </w:r>
      </w:hyperlink>
      <w:r w:rsidRPr="002A056D">
        <w:rPr>
          <w:sz w:val="22"/>
          <w:szCs w:val="22"/>
        </w:rPr>
        <w:t xml:space="preserve"> advises that schools should include an assessment of cyber security within their risk registers, and the ESFA have produced further guidance and suggested questions that trustees can ask on the </w:t>
      </w:r>
      <w:hyperlink r:id="rId14" w:history="1">
        <w:r w:rsidRPr="002A056D">
          <w:rPr>
            <w:rStyle w:val="Hyperlink"/>
            <w:sz w:val="22"/>
            <w:szCs w:val="22"/>
          </w:rPr>
          <w:t>National Cyber Security Centre website</w:t>
        </w:r>
      </w:hyperlink>
      <w:r w:rsidRPr="002A056D">
        <w:rPr>
          <w:sz w:val="22"/>
          <w:szCs w:val="22"/>
        </w:rPr>
        <w:t>.</w:t>
      </w:r>
      <w:r w:rsidRPr="002A056D">
        <w:t xml:space="preserve"> </w:t>
      </w:r>
    </w:p>
    <w:p w14:paraId="645BF89E" w14:textId="77777777" w:rsidR="00AB12B9" w:rsidRPr="002A056D" w:rsidRDefault="00AB12B9" w:rsidP="00AB12B9">
      <w:pPr>
        <w:pStyle w:val="Sub-heading"/>
      </w:pPr>
      <w:r w:rsidRPr="002A056D">
        <w:t>GDPR</w:t>
      </w:r>
    </w:p>
    <w:p w14:paraId="375DA2D6" w14:textId="77777777" w:rsidR="00AB12B9" w:rsidRPr="002A056D" w:rsidRDefault="00AB12B9" w:rsidP="00AB12B9">
      <w:pPr>
        <w:jc w:val="both"/>
        <w:textAlignment w:val="baseline"/>
        <w:rPr>
          <w:sz w:val="22"/>
          <w:szCs w:val="22"/>
        </w:rPr>
      </w:pPr>
      <w:r w:rsidRPr="002A056D">
        <w:rPr>
          <w:sz w:val="22"/>
          <w:szCs w:val="22"/>
        </w:rPr>
        <w:t xml:space="preserve">An increasing number of schools are incurring unplanned costs, both direct and indirect, because of the increase in basic, and easily avoidable, data protection incidents and poorly managed school communications. This is combined with the increasing awareness of data subject of their right to bring a claim [on average in the order of £5,000 per claimant], directly against a school, leading to considerable potential risk to a school.  Our GPDR associate has created a briefing video which helps you understand the changing risk to your school and employ some basic strategies and resources to help mitigate them and protect your school against unplanned costs. If you would like access to this briefing, please contact </w:t>
      </w:r>
      <w:hyperlink r:id="rId15" w:history="1">
        <w:r w:rsidRPr="002A056D">
          <w:rPr>
            <w:sz w:val="22"/>
            <w:szCs w:val="22"/>
            <w:u w:val="single"/>
          </w:rPr>
          <w:t>carly.quickcrockford@junipereducation.org</w:t>
        </w:r>
      </w:hyperlink>
      <w:r w:rsidRPr="002A056D">
        <w:rPr>
          <w:sz w:val="22"/>
          <w:szCs w:val="22"/>
        </w:rPr>
        <w:t xml:space="preserve"> </w:t>
      </w:r>
    </w:p>
    <w:p w14:paraId="1E3CB2A0" w14:textId="77777777" w:rsidR="00D50B64" w:rsidRPr="00BA3919" w:rsidRDefault="00AB12B9" w:rsidP="00AB12B9">
      <w:pPr>
        <w:suppressAutoHyphens w:val="0"/>
        <w:spacing w:before="0" w:after="0" w:line="240" w:lineRule="auto"/>
        <w:rPr>
          <w:sz w:val="22"/>
          <w:szCs w:val="22"/>
        </w:rPr>
      </w:pPr>
      <w:r w:rsidRPr="002A056D">
        <w:rPr>
          <w:sz w:val="22"/>
          <w:szCs w:val="22"/>
        </w:rPr>
        <w:br w:type="page"/>
      </w:r>
      <w:r w:rsidR="00D50B64">
        <w:rPr>
          <w:rFonts w:eastAsia="Arial Unicode MS"/>
          <w:b/>
          <w:color w:val="3C3060"/>
          <w:sz w:val="40"/>
          <w:szCs w:val="40"/>
        </w:rPr>
        <w:lastRenderedPageBreak/>
        <w:t>USEFUL LINKS</w:t>
      </w:r>
    </w:p>
    <w:p w14:paraId="199D7786" w14:textId="77777777" w:rsidR="00D50B64" w:rsidRPr="00B87A87" w:rsidRDefault="00D50B64" w:rsidP="00143CE0">
      <w:pPr>
        <w:pStyle w:val="Sub-heading"/>
      </w:pPr>
      <w:bookmarkStart w:id="1" w:name="_Hlk98926574"/>
      <w:r w:rsidRPr="00B87A87">
        <w:t>ACADEMY TRUST HANDBOOK</w:t>
      </w:r>
    </w:p>
    <w:bookmarkEnd w:id="1"/>
    <w:p w14:paraId="48FF0986" w14:textId="77777777" w:rsidR="00D50B64" w:rsidRDefault="00D50B64" w:rsidP="00D50B64">
      <w:pPr>
        <w:spacing w:line="276" w:lineRule="auto"/>
        <w:rPr>
          <w:sz w:val="22"/>
          <w:szCs w:val="22"/>
        </w:rPr>
      </w:pPr>
      <w:r>
        <w:rPr>
          <w:sz w:val="22"/>
          <w:szCs w:val="22"/>
        </w:rPr>
        <w:t>The Academy trust handbook 202</w:t>
      </w:r>
      <w:r w:rsidR="00F44739">
        <w:rPr>
          <w:sz w:val="22"/>
          <w:szCs w:val="22"/>
        </w:rPr>
        <w:t>3</w:t>
      </w:r>
      <w:r>
        <w:rPr>
          <w:sz w:val="22"/>
          <w:szCs w:val="22"/>
        </w:rPr>
        <w:t xml:space="preserve"> is effective from September 202</w:t>
      </w:r>
      <w:r w:rsidR="00F44739">
        <w:rPr>
          <w:sz w:val="22"/>
          <w:szCs w:val="22"/>
        </w:rPr>
        <w:t>3</w:t>
      </w:r>
      <w:r>
        <w:rPr>
          <w:sz w:val="22"/>
          <w:szCs w:val="22"/>
        </w:rPr>
        <w:t>.  Trustees should ensure that they have read this document and noted any changes to ensure any new requirements are adhered to.</w:t>
      </w:r>
    </w:p>
    <w:p w14:paraId="7B1D3C35" w14:textId="77777777" w:rsidR="00B87A87" w:rsidRPr="00F44739" w:rsidRDefault="00076A89" w:rsidP="00D50B64">
      <w:pPr>
        <w:spacing w:line="276" w:lineRule="auto"/>
        <w:rPr>
          <w:sz w:val="28"/>
          <w:szCs w:val="26"/>
        </w:rPr>
      </w:pPr>
      <w:hyperlink r:id="rId16" w:history="1">
        <w:r w:rsidR="00F44739" w:rsidRPr="00F44739">
          <w:rPr>
            <w:rStyle w:val="Hyperlink"/>
            <w:sz w:val="22"/>
            <w:szCs w:val="26"/>
          </w:rPr>
          <w:t>Academy Trust Handbook 2023 (publishing.service.gov.uk)</w:t>
        </w:r>
      </w:hyperlink>
    </w:p>
    <w:p w14:paraId="2B9BB7FD" w14:textId="77777777" w:rsidR="00D50B64" w:rsidRPr="00B87A87" w:rsidRDefault="00D50B64" w:rsidP="00143CE0">
      <w:pPr>
        <w:pStyle w:val="Sub-heading"/>
      </w:pPr>
      <w:r w:rsidRPr="00B87A87">
        <w:t>INTERNAL SCRUTINY IN ACADEMY TRUSTS</w:t>
      </w:r>
    </w:p>
    <w:p w14:paraId="0FEE2CC5" w14:textId="77777777" w:rsidR="00D50B64" w:rsidRPr="002D0E58" w:rsidRDefault="00D50B64" w:rsidP="00D50B64">
      <w:pPr>
        <w:spacing w:line="276" w:lineRule="auto"/>
        <w:rPr>
          <w:sz w:val="22"/>
          <w:szCs w:val="22"/>
        </w:rPr>
      </w:pPr>
      <w:r w:rsidRPr="002D0E58">
        <w:rPr>
          <w:sz w:val="22"/>
          <w:szCs w:val="22"/>
        </w:rPr>
        <w:t>This good practice guide provides guidance for trustees, audit and risk committees, accounting officers, and chief financial officers (CFOs) in academy trusts.</w:t>
      </w:r>
    </w:p>
    <w:p w14:paraId="3F383C76" w14:textId="77777777" w:rsidR="00AE6D8E" w:rsidRDefault="00076A89" w:rsidP="00D50B64">
      <w:pPr>
        <w:rPr>
          <w:rStyle w:val="Hyperlink"/>
          <w:sz w:val="22"/>
          <w:szCs w:val="26"/>
        </w:rPr>
      </w:pPr>
      <w:hyperlink r:id="rId17" w:anchor="annex-1" w:history="1">
        <w:r w:rsidR="00D50B64" w:rsidRPr="002D0E58">
          <w:rPr>
            <w:rStyle w:val="Hyperlink"/>
            <w:sz w:val="22"/>
            <w:szCs w:val="26"/>
          </w:rPr>
          <w:t>Internal scrutiny in academy trusts - GOV.UK (www.gov.uk)</w:t>
        </w:r>
      </w:hyperlink>
    </w:p>
    <w:p w14:paraId="6B744BDD" w14:textId="77777777" w:rsidR="00AB12B9" w:rsidRDefault="00AB12B9" w:rsidP="00D50B64">
      <w:pPr>
        <w:rPr>
          <w:rStyle w:val="Hyperlink"/>
          <w:sz w:val="22"/>
          <w:szCs w:val="26"/>
        </w:rPr>
      </w:pPr>
    </w:p>
    <w:p w14:paraId="678F44AF" w14:textId="77777777" w:rsidR="00AB12B9" w:rsidRPr="002A056D" w:rsidRDefault="00AB12B9" w:rsidP="00AB12B9">
      <w:pPr>
        <w:pStyle w:val="Sub-heading"/>
      </w:pPr>
      <w:r w:rsidRPr="002A056D">
        <w:t xml:space="preserve">Bespoke Reviews </w:t>
      </w:r>
    </w:p>
    <w:p w14:paraId="7E4AE0E3" w14:textId="77777777" w:rsidR="00AB12B9" w:rsidRPr="002A056D" w:rsidRDefault="00AB12B9" w:rsidP="00AB12B9">
      <w:pPr>
        <w:spacing w:line="276" w:lineRule="auto"/>
        <w:rPr>
          <w:sz w:val="22"/>
          <w:szCs w:val="22"/>
        </w:rPr>
      </w:pPr>
      <w:r w:rsidRPr="002A056D">
        <w:rPr>
          <w:sz w:val="22"/>
          <w:szCs w:val="22"/>
        </w:rPr>
        <w:t xml:space="preserve">If our portfolio of reviews does not include a particular </w:t>
      </w:r>
      <w:r>
        <w:rPr>
          <w:sz w:val="22"/>
          <w:szCs w:val="22"/>
        </w:rPr>
        <w:t>area</w:t>
      </w:r>
      <w:r w:rsidRPr="002A056D">
        <w:rPr>
          <w:sz w:val="22"/>
          <w:szCs w:val="22"/>
        </w:rPr>
        <w:t xml:space="preserve"> of interest</w:t>
      </w:r>
      <w:r>
        <w:rPr>
          <w:sz w:val="22"/>
          <w:szCs w:val="22"/>
        </w:rPr>
        <w:t xml:space="preserve"> or risk identified</w:t>
      </w:r>
      <w:r w:rsidRPr="002A056D">
        <w:rPr>
          <w:sz w:val="22"/>
          <w:szCs w:val="22"/>
        </w:rPr>
        <w:t xml:space="preserve"> by the trust board, please contact us to discuss our bespoke review options.</w:t>
      </w:r>
    </w:p>
    <w:p w14:paraId="19A25336" w14:textId="77777777" w:rsidR="00AB12B9" w:rsidRPr="002A056D" w:rsidRDefault="00AB12B9" w:rsidP="00AB12B9">
      <w:pPr>
        <w:pStyle w:val="Sub-heading"/>
      </w:pPr>
      <w:r w:rsidRPr="002A056D">
        <w:t>Consulting</w:t>
      </w:r>
    </w:p>
    <w:p w14:paraId="035F0414" w14:textId="77777777" w:rsidR="00AB12B9" w:rsidRPr="002A056D" w:rsidRDefault="00AB12B9" w:rsidP="00AB12B9">
      <w:pPr>
        <w:spacing w:after="1280"/>
      </w:pPr>
      <w:r w:rsidRPr="002A056D">
        <w:rPr>
          <w:sz w:val="22"/>
          <w:szCs w:val="22"/>
        </w:rPr>
        <w:t>Juniper is available to provide consulting services in many areas of running a multi academy trust, from centralisation implementation and restructuring to expansion and attracting schools.  Please contact us if you would like more information on our consulting work.</w:t>
      </w:r>
    </w:p>
    <w:p w14:paraId="6F2C355A" w14:textId="77777777" w:rsidR="00AB12B9" w:rsidRPr="002A056D" w:rsidRDefault="00AB12B9" w:rsidP="00AB12B9">
      <w:pPr>
        <w:pStyle w:val="Sub-heading"/>
      </w:pPr>
      <w:r w:rsidRPr="002A056D">
        <w:lastRenderedPageBreak/>
        <w:t>Non-Financial Reviews Offered</w:t>
      </w:r>
    </w:p>
    <w:p w14:paraId="0E079F7B" w14:textId="77777777" w:rsidR="00AB12B9" w:rsidRPr="002A056D" w:rsidRDefault="00AB12B9" w:rsidP="00AB12B9">
      <w:pPr>
        <w:rPr>
          <w:rFonts w:ascii="Franklin Gothic Medium" w:hAnsi="Franklin Gothic Medium" w:cs="Calibri"/>
          <w:color w:val="3C3060"/>
          <w:sz w:val="24"/>
          <w:lang w:eastAsia="zh-CN"/>
          <w14:ligatures w14:val="none"/>
        </w:rPr>
      </w:pPr>
      <w:r w:rsidRPr="002A056D">
        <w:rPr>
          <w:rFonts w:ascii="Franklin Gothic Medium" w:hAnsi="Franklin Gothic Medium"/>
          <w:color w:val="3C3060"/>
          <w:sz w:val="24"/>
          <w:lang w:eastAsia="zh-CN"/>
        </w:rPr>
        <w:t>PE &amp; Sports Premium Review</w:t>
      </w:r>
    </w:p>
    <w:p w14:paraId="557DE6CF" w14:textId="77777777" w:rsidR="00AB12B9" w:rsidRPr="002A056D" w:rsidRDefault="00AB12B9" w:rsidP="00AB12B9">
      <w:pPr>
        <w:rPr>
          <w:sz w:val="22"/>
          <w:szCs w:val="22"/>
        </w:rPr>
      </w:pPr>
      <w:r w:rsidRPr="002A056D">
        <w:rPr>
          <w:sz w:val="22"/>
          <w:szCs w:val="22"/>
          <w:lang w:eastAsia="zh-CN"/>
        </w:rPr>
        <w:t xml:space="preserve">Schools must use PE and sport premium funding to make additional and sustainable improvements to the quality of the PE, physical activity, and sport they provide. Our review will look at whether the funding is being used effectively to develop and add to your provision and examine your own evaluation of the impact using </w:t>
      </w:r>
      <w:r w:rsidRPr="002A056D">
        <w:rPr>
          <w:sz w:val="22"/>
          <w:szCs w:val="22"/>
        </w:rPr>
        <w:t>the 5 key indicators set out in the DfE guidance.</w:t>
      </w:r>
    </w:p>
    <w:p w14:paraId="5A0C64B8" w14:textId="77777777" w:rsidR="00AB12B9" w:rsidRPr="002A056D" w:rsidRDefault="00AB12B9" w:rsidP="00AB12B9"/>
    <w:p w14:paraId="2880D8A9" w14:textId="77777777" w:rsidR="00AB12B9" w:rsidRPr="002A056D" w:rsidRDefault="00AB12B9" w:rsidP="00AB12B9">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P</w:t>
      </w:r>
      <w:r>
        <w:rPr>
          <w:rFonts w:ascii="Franklin Gothic Medium" w:hAnsi="Franklin Gothic Medium"/>
          <w:color w:val="3C3060"/>
          <w:sz w:val="24"/>
          <w:lang w:eastAsia="zh-CN"/>
        </w:rPr>
        <w:t>upil &amp; Recovery Premium Review</w:t>
      </w:r>
    </w:p>
    <w:p w14:paraId="7204A1DC" w14:textId="77777777" w:rsidR="00AB12B9" w:rsidRPr="002A056D" w:rsidRDefault="00AB12B9" w:rsidP="00AB12B9">
      <w:pPr>
        <w:rPr>
          <w:szCs w:val="20"/>
        </w:rPr>
      </w:pPr>
      <w:r w:rsidRPr="002A056D">
        <w:rPr>
          <w:sz w:val="22"/>
          <w:szCs w:val="22"/>
        </w:rPr>
        <w:t>Evidence shows that disadvantaged children generally face additional challenges in reaching their potential at school and often do not perform as well as other pupils. Pupil and recovery premium grants provide funding for schools to provide extra support for these pupils. Our review team will take on the role of ‘critical friend’, highlighting areas of strength around the school’s approach to the use of the premiums, but also identifying what can be improved</w:t>
      </w:r>
      <w:r w:rsidRPr="002A056D">
        <w:t>.</w:t>
      </w:r>
    </w:p>
    <w:p w14:paraId="36C2664A" w14:textId="77777777" w:rsidR="00AB12B9" w:rsidRPr="002A056D" w:rsidRDefault="00AB12B9" w:rsidP="00AB12B9">
      <w:pPr>
        <w:rPr>
          <w:szCs w:val="20"/>
        </w:rPr>
      </w:pPr>
    </w:p>
    <w:p w14:paraId="5ADAF7FA" w14:textId="77777777" w:rsidR="00AB12B9" w:rsidRPr="002A056D" w:rsidRDefault="00AB12B9" w:rsidP="00AB12B9">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S</w:t>
      </w:r>
      <w:r>
        <w:rPr>
          <w:rFonts w:ascii="Franklin Gothic Medium" w:hAnsi="Franklin Gothic Medium"/>
          <w:color w:val="3C3060"/>
          <w:sz w:val="24"/>
          <w:lang w:eastAsia="zh-CN"/>
        </w:rPr>
        <w:t>afeguarding Internal Scrutiny Review</w:t>
      </w:r>
    </w:p>
    <w:p w14:paraId="1D681C85" w14:textId="77777777" w:rsidR="00AB12B9" w:rsidRPr="002A056D" w:rsidRDefault="00AB12B9" w:rsidP="00AB12B9">
      <w:pPr>
        <w:rPr>
          <w:sz w:val="22"/>
          <w:szCs w:val="22"/>
        </w:rPr>
      </w:pPr>
      <w:r w:rsidRPr="002A056D">
        <w:rPr>
          <w:sz w:val="22"/>
          <w:szCs w:val="22"/>
        </w:rPr>
        <w:t>Keeping pupils safe is a core responsibility of schools and is rightly a key part of legislation and inspection. A safeguarding internal scrutiny review will assure settings of what they are doing well and provide recommendations to further improve practice and meet and exceed statutory expectations.</w:t>
      </w:r>
    </w:p>
    <w:p w14:paraId="3E1AE6F8" w14:textId="77777777" w:rsidR="00AB12B9" w:rsidRPr="002A056D" w:rsidRDefault="00AB12B9" w:rsidP="00AB12B9">
      <w:pPr>
        <w:rPr>
          <w:sz w:val="22"/>
          <w:szCs w:val="22"/>
          <w:lang w:eastAsia="zh-CN"/>
        </w:rPr>
      </w:pPr>
    </w:p>
    <w:p w14:paraId="291B8AF7" w14:textId="77777777" w:rsidR="00AB12B9" w:rsidRPr="002A056D" w:rsidRDefault="00AB12B9" w:rsidP="00AB12B9">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 xml:space="preserve">SEND </w:t>
      </w:r>
      <w:r>
        <w:rPr>
          <w:rFonts w:ascii="Franklin Gothic Medium" w:hAnsi="Franklin Gothic Medium"/>
          <w:color w:val="3C3060"/>
          <w:sz w:val="24"/>
          <w:lang w:eastAsia="zh-CN"/>
        </w:rPr>
        <w:t>Internal Scrutiny Review</w:t>
      </w:r>
    </w:p>
    <w:p w14:paraId="20AEFB87" w14:textId="77777777" w:rsidR="00AB12B9" w:rsidRPr="002A056D" w:rsidRDefault="00AB12B9" w:rsidP="00AB12B9">
      <w:pPr>
        <w:rPr>
          <w:sz w:val="22"/>
          <w:szCs w:val="22"/>
        </w:rPr>
      </w:pPr>
      <w:r w:rsidRPr="002A056D">
        <w:rPr>
          <w:sz w:val="22"/>
          <w:szCs w:val="22"/>
        </w:rPr>
        <w:t>Children and young people with special educational needs and disabilities should achieve well in their early years, at school and in college, and lead happy and fulfilled lives. Supporting SEND pupils safe is a core responsibility of schools and is rightly a key part of legislation and inspection. A SEND internal scrutiny review will assure settings of what they are doing well and provide recommendations to further improve practice and meet and exceed statutory expectations.</w:t>
      </w:r>
    </w:p>
    <w:p w14:paraId="73F41CB1" w14:textId="77777777" w:rsidR="00AB12B9" w:rsidRPr="002A056D" w:rsidRDefault="00AB12B9" w:rsidP="00AB12B9"/>
    <w:p w14:paraId="76FDAA68" w14:textId="77777777" w:rsidR="00AB12B9" w:rsidRPr="002A056D" w:rsidRDefault="00AB12B9" w:rsidP="00AB12B9">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SEND Ofsted Audit</w:t>
      </w:r>
    </w:p>
    <w:p w14:paraId="7C7F5E93" w14:textId="77777777" w:rsidR="00AB12B9" w:rsidRPr="002A056D" w:rsidRDefault="00AB12B9" w:rsidP="00AB12B9">
      <w:pPr>
        <w:rPr>
          <w:sz w:val="22"/>
          <w:szCs w:val="22"/>
        </w:rPr>
      </w:pPr>
      <w:r w:rsidRPr="002A056D">
        <w:rPr>
          <w:sz w:val="22"/>
          <w:szCs w:val="22"/>
        </w:rPr>
        <w:t>Though Ofsted doesn’t give separate grades for a school’s SEND provision, the evidence gathered is used to inform other judgements. Therefore, schools may find it useful to consider their provision in the same way as an inspection might.</w:t>
      </w:r>
    </w:p>
    <w:p w14:paraId="3D5C24EA" w14:textId="77777777" w:rsidR="00AB12B9" w:rsidRPr="002A056D" w:rsidRDefault="00AB12B9" w:rsidP="00AB12B9">
      <w:pPr>
        <w:rPr>
          <w:sz w:val="22"/>
          <w:szCs w:val="22"/>
        </w:rPr>
      </w:pPr>
      <w:r w:rsidRPr="002A056D">
        <w:rPr>
          <w:sz w:val="22"/>
          <w:szCs w:val="22"/>
        </w:rPr>
        <w:t>We are pleased to offer an audit focussing on Ofsted criteria, in particular the requirements of paragraphs 360 to 364 of the inspection handbook.</w:t>
      </w:r>
    </w:p>
    <w:p w14:paraId="1300F40F" w14:textId="77777777" w:rsidR="00AB12B9" w:rsidRPr="002A056D" w:rsidRDefault="00AB12B9" w:rsidP="00AB12B9">
      <w:pPr>
        <w:rPr>
          <w:sz w:val="22"/>
          <w:szCs w:val="22"/>
        </w:rPr>
      </w:pPr>
    </w:p>
    <w:p w14:paraId="269FAF21" w14:textId="77777777" w:rsidR="00AB12B9" w:rsidRPr="002A056D" w:rsidRDefault="00AB12B9" w:rsidP="00AB12B9">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S</w:t>
      </w:r>
      <w:r>
        <w:rPr>
          <w:rFonts w:ascii="Franklin Gothic Medium" w:hAnsi="Franklin Gothic Medium"/>
          <w:color w:val="3C3060"/>
          <w:sz w:val="24"/>
          <w:lang w:eastAsia="zh-CN"/>
        </w:rPr>
        <w:t>ustainability</w:t>
      </w:r>
      <w:r w:rsidRPr="002A056D">
        <w:rPr>
          <w:rFonts w:ascii="Franklin Gothic Medium" w:hAnsi="Franklin Gothic Medium"/>
          <w:color w:val="3C3060"/>
          <w:sz w:val="24"/>
          <w:lang w:eastAsia="zh-CN"/>
        </w:rPr>
        <w:t xml:space="preserve"> </w:t>
      </w:r>
      <w:r>
        <w:rPr>
          <w:rFonts w:ascii="Franklin Gothic Medium" w:hAnsi="Franklin Gothic Medium"/>
          <w:color w:val="3C3060"/>
          <w:sz w:val="24"/>
          <w:lang w:eastAsia="zh-CN"/>
        </w:rPr>
        <w:t>Internal Scrutiny Review</w:t>
      </w:r>
    </w:p>
    <w:p w14:paraId="570E49FF" w14:textId="77777777" w:rsidR="00AB12B9" w:rsidRPr="002A056D" w:rsidRDefault="00AB12B9" w:rsidP="00AB12B9">
      <w:pPr>
        <w:rPr>
          <w:sz w:val="22"/>
          <w:szCs w:val="22"/>
          <w:lang w:eastAsia="zh-CN"/>
        </w:rPr>
      </w:pPr>
      <w:r w:rsidRPr="002A056D">
        <w:rPr>
          <w:sz w:val="22"/>
          <w:szCs w:val="22"/>
          <w:lang w:eastAsia="zh-CN"/>
        </w:rPr>
        <w:t>Children and young people should have an understanding of the effects that human use of the world’s resources has on them as individuals (including health, wellbeing, and financial wellbeing), the school community, their locality and the world. Our review team will take on the role of ‘critical friend’, highlighting areas of strength around the sustainability agenda, but also identifying what can be improved</w:t>
      </w:r>
      <w:r w:rsidRPr="002A056D">
        <w:rPr>
          <w:lang w:eastAsia="zh-CN"/>
        </w:rPr>
        <w:t>.</w:t>
      </w:r>
    </w:p>
    <w:p w14:paraId="5A39A0A4" w14:textId="77777777" w:rsidR="00AB12B9" w:rsidRPr="002A056D" w:rsidRDefault="00AB12B9" w:rsidP="00AB12B9">
      <w:pPr>
        <w:rPr>
          <w:lang w:eastAsia="zh-CN"/>
        </w:rPr>
      </w:pPr>
    </w:p>
    <w:p w14:paraId="6FD487B8" w14:textId="77777777" w:rsidR="00AB12B9" w:rsidRPr="002A056D" w:rsidRDefault="00AB12B9" w:rsidP="00AB12B9">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T</w:t>
      </w:r>
      <w:r>
        <w:rPr>
          <w:rFonts w:ascii="Franklin Gothic Medium" w:hAnsi="Franklin Gothic Medium"/>
          <w:color w:val="3C3060"/>
          <w:sz w:val="24"/>
          <w:lang w:eastAsia="zh-CN"/>
        </w:rPr>
        <w:t>eaching &amp; Learning Review</w:t>
      </w:r>
    </w:p>
    <w:p w14:paraId="47679D5F" w14:textId="77777777" w:rsidR="00AB12B9" w:rsidRPr="00D76B5C" w:rsidRDefault="00AB12B9" w:rsidP="00AB12B9">
      <w:pPr>
        <w:rPr>
          <w:rFonts w:ascii="Arial" w:hAnsi="Arial" w:cs="Arial"/>
          <w:sz w:val="22"/>
          <w:szCs w:val="22"/>
          <w14:ligatures w14:val="none"/>
        </w:rPr>
      </w:pPr>
      <w:r w:rsidRPr="002A056D">
        <w:rPr>
          <w:sz w:val="22"/>
          <w:szCs w:val="22"/>
          <w:lang w:eastAsia="zh-CN"/>
        </w:rPr>
        <w:t>Children and young people’s education through the pandemic has suffered. Research is clear that some groups of pupils have fallen further behind than others. A key responsibility of schools is the need to prioritise the teaching of missed content so that pupils will be able to make sense of later work in the curriculum. This includes key knowledge, skills, vocabulary, concepts, and the links between concepts. Our review team will take on the role of ‘critical friend’, highlighting areas of strength around the school’s approach to teaching for education, but also identifying what can be improved.</w:t>
      </w:r>
    </w:p>
    <w:p w14:paraId="6D0D2558" w14:textId="77777777" w:rsidR="00AB12B9" w:rsidRPr="00D76B5C" w:rsidRDefault="00AB12B9" w:rsidP="00AB12B9">
      <w:pPr>
        <w:spacing w:line="276" w:lineRule="auto"/>
        <w:rPr>
          <w:rFonts w:ascii="Arial" w:hAnsi="Arial" w:cs="Arial"/>
          <w:sz w:val="22"/>
          <w:szCs w:val="22"/>
          <w14:ligatures w14:val="none"/>
        </w:rPr>
      </w:pPr>
    </w:p>
    <w:p w14:paraId="2C5E8706" w14:textId="77777777" w:rsidR="00AB12B9" w:rsidRPr="00D50B64" w:rsidRDefault="00AB12B9" w:rsidP="00D50B64"/>
    <w:sectPr w:rsidR="00AB12B9" w:rsidRPr="00D50B64" w:rsidSect="000136CD">
      <w:footerReference w:type="default" r:id="rId18"/>
      <w:headerReference w:type="first" r:id="rId19"/>
      <w:footerReference w:type="first" r:id="rId20"/>
      <w:pgSz w:w="16840" w:h="11900" w:orient="landscape"/>
      <w:pgMar w:top="1440" w:right="907" w:bottom="1823" w:left="907" w:header="709" w:footer="8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21EE" w14:textId="77777777" w:rsidR="005460EA" w:rsidRDefault="005460EA" w:rsidP="00B626E2">
      <w:r>
        <w:separator/>
      </w:r>
    </w:p>
  </w:endnote>
  <w:endnote w:type="continuationSeparator" w:id="0">
    <w:p w14:paraId="3F25C068" w14:textId="77777777" w:rsidR="005460EA" w:rsidRDefault="005460EA" w:rsidP="00B626E2">
      <w:r>
        <w:continuationSeparator/>
      </w:r>
    </w:p>
  </w:endnote>
  <w:endnote w:type="continuationNotice" w:id="1">
    <w:p w14:paraId="5D151DF0" w14:textId="77777777" w:rsidR="005460EA" w:rsidRDefault="005460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Franklin Gothic Book">
    <w:altName w:val="Franklin Gothic"/>
    <w:panose1 w:val="020B05030201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86E8" w14:textId="77777777" w:rsidR="000136CD" w:rsidRPr="001B442B" w:rsidRDefault="000136CD" w:rsidP="000136CD">
    <w:pPr>
      <w:pStyle w:val="Footer"/>
    </w:pPr>
    <w:r>
      <w:rPr>
        <w:noProof/>
      </w:rPr>
      <mc:AlternateContent>
        <mc:Choice Requires="wps">
          <w:drawing>
            <wp:anchor distT="45720" distB="45720" distL="114300" distR="114300" simplePos="0" relativeHeight="251658243" behindDoc="0" locked="0" layoutInCell="1" allowOverlap="1" wp14:anchorId="5B0FE526" wp14:editId="0BD6CA36">
              <wp:simplePos x="0" y="0"/>
              <wp:positionH relativeFrom="column">
                <wp:posOffset>-98121</wp:posOffset>
              </wp:positionH>
              <wp:positionV relativeFrom="paragraph">
                <wp:posOffset>44450</wp:posOffset>
              </wp:positionV>
              <wp:extent cx="4285753" cy="556591"/>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6859D505"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w:t>
                          </w:r>
                          <w:r w:rsidR="000B61D8">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FE526" id="_x0000_t202" coordsize="21600,21600" o:spt="202" path="m,l,21600r21600,l21600,xe">
              <v:stroke joinstyle="miter"/>
              <v:path gradientshapeok="t" o:connecttype="rect"/>
            </v:shapetype>
            <v:shape id="Text Box 2" o:spid="_x0000_s1026" type="#_x0000_t202" style="position:absolute;margin-left:-7.75pt;margin-top:3.5pt;width:337.45pt;height:43.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" filled="f" stroked="f">
              <v:textbox>
                <w:txbxContent>
                  <w:p w14:paraId="6859D505"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w:t>
                    </w:r>
                    <w:r w:rsidR="000B61D8">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0B932F80" w14:textId="77777777" w:rsidR="00C47C8E" w:rsidRPr="00C842DE" w:rsidRDefault="007C46F8" w:rsidP="00C842DE">
    <w:pPr>
      <w:pStyle w:val="Footer"/>
    </w:pPr>
    <w:r>
      <w:rPr>
        <w:noProof/>
        <w14:ligatures w14:val="none"/>
      </w:rPr>
      <w:drawing>
        <wp:anchor distT="0" distB="0" distL="114300" distR="114300" simplePos="0" relativeHeight="251658241" behindDoc="1" locked="1" layoutInCell="1" allowOverlap="1" wp14:anchorId="4A182034" wp14:editId="1A9859A3">
          <wp:simplePos x="0" y="0"/>
          <wp:positionH relativeFrom="column">
            <wp:posOffset>-558800</wp:posOffset>
          </wp:positionH>
          <wp:positionV relativeFrom="page">
            <wp:posOffset>6484620</wp:posOffset>
          </wp:positionV>
          <wp:extent cx="10659600" cy="1076400"/>
          <wp:effectExtent l="0" t="0" r="0"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106596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E0C" w14:textId="77777777" w:rsidR="000136CD" w:rsidRPr="001B442B" w:rsidRDefault="000136CD" w:rsidP="000136CD">
    <w:pPr>
      <w:pStyle w:val="Footer"/>
    </w:pPr>
    <w:r>
      <w:rPr>
        <w:noProof/>
      </w:rPr>
      <mc:AlternateContent>
        <mc:Choice Requires="wps">
          <w:drawing>
            <wp:anchor distT="45720" distB="45720" distL="114300" distR="114300" simplePos="0" relativeHeight="251658242" behindDoc="0" locked="0" layoutInCell="1" allowOverlap="1" wp14:anchorId="532513D3" wp14:editId="50766051">
              <wp:simplePos x="0" y="0"/>
              <wp:positionH relativeFrom="column">
                <wp:posOffset>-98121</wp:posOffset>
              </wp:positionH>
              <wp:positionV relativeFrom="paragraph">
                <wp:posOffset>44450</wp:posOffset>
              </wp:positionV>
              <wp:extent cx="4285753" cy="5565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2438FB4B"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w:t>
                          </w:r>
                          <w:r w:rsidR="000B61D8">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513D3" id="_x0000_t202" coordsize="21600,21600" o:spt="202" path="m,l,21600r21600,l21600,xe">
              <v:stroke joinstyle="miter"/>
              <v:path gradientshapeok="t" o:connecttype="rect"/>
            </v:shapetype>
            <v:shape id="_x0000_s1027" type="#_x0000_t202" style="position:absolute;margin-left:-7.75pt;margin-top:3.5pt;width:337.45pt;height:43.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j+wEAANQDAAAOAAAAZHJzL2Uyb0RvYy54bWysU9uO2yAQfa/Uf0C8N3bceDex4qy2u92q&#10;0vYibfsBGOMYFRgKJHb69R2wNxu1b1X9gBjGnJlz5rC9GbUiR+G8BFPT5SKnRBgOrTT7mn7/9vBm&#10;TY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" filled="f" stroked="f">
              <v:textbox>
                <w:txbxContent>
                  <w:p w14:paraId="2438FB4B"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w:t>
                    </w:r>
                    <w:r w:rsidR="000B61D8">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541A5B71" w14:textId="77777777" w:rsidR="000136CD" w:rsidRDefault="0001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5F1D" w14:textId="77777777" w:rsidR="005460EA" w:rsidRDefault="005460EA" w:rsidP="00B626E2">
      <w:r>
        <w:separator/>
      </w:r>
    </w:p>
  </w:footnote>
  <w:footnote w:type="continuationSeparator" w:id="0">
    <w:p w14:paraId="23EC689E" w14:textId="77777777" w:rsidR="005460EA" w:rsidRDefault="005460EA" w:rsidP="00B626E2">
      <w:r>
        <w:continuationSeparator/>
      </w:r>
    </w:p>
  </w:footnote>
  <w:footnote w:type="continuationNotice" w:id="1">
    <w:p w14:paraId="347ADA7F" w14:textId="77777777" w:rsidR="005460EA" w:rsidRDefault="005460E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31FC" w14:textId="77777777" w:rsidR="00C47C8E" w:rsidRDefault="005353C3" w:rsidP="00B626E2">
    <w:r>
      <w:rPr>
        <w:noProof/>
        <w14:ligatures w14:val="none"/>
      </w:rPr>
      <w:drawing>
        <wp:anchor distT="0" distB="0" distL="114300" distR="114300" simplePos="0" relativeHeight="251658240" behindDoc="1" locked="1" layoutInCell="1" allowOverlap="1" wp14:anchorId="61B38786" wp14:editId="3F62FA32">
          <wp:simplePos x="0" y="0"/>
          <wp:positionH relativeFrom="column">
            <wp:posOffset>-562610</wp:posOffset>
          </wp:positionH>
          <wp:positionV relativeFrom="page">
            <wp:posOffset>0</wp:posOffset>
          </wp:positionV>
          <wp:extent cx="7524000" cy="885600"/>
          <wp:effectExtent l="0" t="0" r="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524000" cy="88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A9922DE"/>
    <w:multiLevelType w:val="hybridMultilevel"/>
    <w:tmpl w:val="9F8428FA"/>
    <w:lvl w:ilvl="0" w:tplc="799022F6">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640541">
    <w:abstractNumId w:val="3"/>
  </w:num>
  <w:num w:numId="2" w16cid:durableId="208079832">
    <w:abstractNumId w:val="0"/>
  </w:num>
  <w:num w:numId="3" w16cid:durableId="1386415925">
    <w:abstractNumId w:val="1"/>
  </w:num>
  <w:num w:numId="4" w16cid:durableId="151807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EA"/>
    <w:rsid w:val="00003402"/>
    <w:rsid w:val="00007519"/>
    <w:rsid w:val="000136CD"/>
    <w:rsid w:val="000311D2"/>
    <w:rsid w:val="00031FE4"/>
    <w:rsid w:val="00033C5F"/>
    <w:rsid w:val="00035347"/>
    <w:rsid w:val="000401A0"/>
    <w:rsid w:val="0004082E"/>
    <w:rsid w:val="000518AF"/>
    <w:rsid w:val="000542FC"/>
    <w:rsid w:val="00062F99"/>
    <w:rsid w:val="00076A89"/>
    <w:rsid w:val="000B0852"/>
    <w:rsid w:val="000B61D8"/>
    <w:rsid w:val="000D5079"/>
    <w:rsid w:val="000E562F"/>
    <w:rsid w:val="00101105"/>
    <w:rsid w:val="001044C0"/>
    <w:rsid w:val="00104F93"/>
    <w:rsid w:val="00114A08"/>
    <w:rsid w:val="001226AF"/>
    <w:rsid w:val="001344F5"/>
    <w:rsid w:val="001360DB"/>
    <w:rsid w:val="00143C8C"/>
    <w:rsid w:val="00143CE0"/>
    <w:rsid w:val="0014700C"/>
    <w:rsid w:val="0015458C"/>
    <w:rsid w:val="00177433"/>
    <w:rsid w:val="0017793A"/>
    <w:rsid w:val="00181EFE"/>
    <w:rsid w:val="001A0447"/>
    <w:rsid w:val="001B442B"/>
    <w:rsid w:val="001F34D7"/>
    <w:rsid w:val="0020652D"/>
    <w:rsid w:val="00245134"/>
    <w:rsid w:val="0026089D"/>
    <w:rsid w:val="00267916"/>
    <w:rsid w:val="00272763"/>
    <w:rsid w:val="002842CB"/>
    <w:rsid w:val="0029570A"/>
    <w:rsid w:val="0029701E"/>
    <w:rsid w:val="002D4514"/>
    <w:rsid w:val="0030573E"/>
    <w:rsid w:val="00310D6E"/>
    <w:rsid w:val="00314B55"/>
    <w:rsid w:val="0033397A"/>
    <w:rsid w:val="0035300E"/>
    <w:rsid w:val="00383937"/>
    <w:rsid w:val="00387FB1"/>
    <w:rsid w:val="00387FD7"/>
    <w:rsid w:val="003B04C6"/>
    <w:rsid w:val="003D5725"/>
    <w:rsid w:val="004810B6"/>
    <w:rsid w:val="00496E0C"/>
    <w:rsid w:val="004B58E5"/>
    <w:rsid w:val="004C2D31"/>
    <w:rsid w:val="004C60A5"/>
    <w:rsid w:val="004E2A97"/>
    <w:rsid w:val="005353C3"/>
    <w:rsid w:val="005460EA"/>
    <w:rsid w:val="0055132E"/>
    <w:rsid w:val="0056090A"/>
    <w:rsid w:val="00562CB9"/>
    <w:rsid w:val="00582D6F"/>
    <w:rsid w:val="005B0203"/>
    <w:rsid w:val="005C3CEE"/>
    <w:rsid w:val="005C7850"/>
    <w:rsid w:val="005D150F"/>
    <w:rsid w:val="005D6FA2"/>
    <w:rsid w:val="005E5D8F"/>
    <w:rsid w:val="005F200C"/>
    <w:rsid w:val="005F6148"/>
    <w:rsid w:val="006110EF"/>
    <w:rsid w:val="00615361"/>
    <w:rsid w:val="00650A99"/>
    <w:rsid w:val="00680A3D"/>
    <w:rsid w:val="0068502A"/>
    <w:rsid w:val="006C58D9"/>
    <w:rsid w:val="006E573D"/>
    <w:rsid w:val="00703C49"/>
    <w:rsid w:val="007346E6"/>
    <w:rsid w:val="00766B46"/>
    <w:rsid w:val="007B3D89"/>
    <w:rsid w:val="007B3FB6"/>
    <w:rsid w:val="007B6AA8"/>
    <w:rsid w:val="007C46F8"/>
    <w:rsid w:val="007D1007"/>
    <w:rsid w:val="007E18C0"/>
    <w:rsid w:val="007F18CD"/>
    <w:rsid w:val="008010C9"/>
    <w:rsid w:val="00833C7B"/>
    <w:rsid w:val="00850967"/>
    <w:rsid w:val="00852879"/>
    <w:rsid w:val="00856B32"/>
    <w:rsid w:val="00861033"/>
    <w:rsid w:val="00873786"/>
    <w:rsid w:val="008803AE"/>
    <w:rsid w:val="008810F8"/>
    <w:rsid w:val="008F0AA6"/>
    <w:rsid w:val="008F7D9F"/>
    <w:rsid w:val="00956AB0"/>
    <w:rsid w:val="00957E9C"/>
    <w:rsid w:val="009615AE"/>
    <w:rsid w:val="00996D8C"/>
    <w:rsid w:val="009B1C13"/>
    <w:rsid w:val="009C59CD"/>
    <w:rsid w:val="009D1DB8"/>
    <w:rsid w:val="009E688A"/>
    <w:rsid w:val="009F5539"/>
    <w:rsid w:val="00A16EF9"/>
    <w:rsid w:val="00A22F93"/>
    <w:rsid w:val="00A3103B"/>
    <w:rsid w:val="00A631E9"/>
    <w:rsid w:val="00A64191"/>
    <w:rsid w:val="00A64E3F"/>
    <w:rsid w:val="00A67DC0"/>
    <w:rsid w:val="00AB12B9"/>
    <w:rsid w:val="00AB7D94"/>
    <w:rsid w:val="00AC2A92"/>
    <w:rsid w:val="00AC2F3F"/>
    <w:rsid w:val="00AE29D3"/>
    <w:rsid w:val="00AE6632"/>
    <w:rsid w:val="00AE6D8E"/>
    <w:rsid w:val="00B626E2"/>
    <w:rsid w:val="00B87A87"/>
    <w:rsid w:val="00B9282C"/>
    <w:rsid w:val="00BA3919"/>
    <w:rsid w:val="00BB2FC0"/>
    <w:rsid w:val="00BB7C2B"/>
    <w:rsid w:val="00BC1121"/>
    <w:rsid w:val="00BC4175"/>
    <w:rsid w:val="00BE3AB2"/>
    <w:rsid w:val="00C145BD"/>
    <w:rsid w:val="00C24A82"/>
    <w:rsid w:val="00C2762B"/>
    <w:rsid w:val="00C45E75"/>
    <w:rsid w:val="00C47C8E"/>
    <w:rsid w:val="00C525CF"/>
    <w:rsid w:val="00C623DF"/>
    <w:rsid w:val="00C63D3E"/>
    <w:rsid w:val="00C77FBC"/>
    <w:rsid w:val="00C842DE"/>
    <w:rsid w:val="00CD45DC"/>
    <w:rsid w:val="00CE1A0C"/>
    <w:rsid w:val="00CF4AD3"/>
    <w:rsid w:val="00D00C29"/>
    <w:rsid w:val="00D10F44"/>
    <w:rsid w:val="00D251CB"/>
    <w:rsid w:val="00D25229"/>
    <w:rsid w:val="00D417EB"/>
    <w:rsid w:val="00D42462"/>
    <w:rsid w:val="00D50B64"/>
    <w:rsid w:val="00D7138E"/>
    <w:rsid w:val="00D8098F"/>
    <w:rsid w:val="00DB090F"/>
    <w:rsid w:val="00DB3654"/>
    <w:rsid w:val="00DD54EC"/>
    <w:rsid w:val="00DD5A51"/>
    <w:rsid w:val="00DF19DF"/>
    <w:rsid w:val="00E0218F"/>
    <w:rsid w:val="00E12B0D"/>
    <w:rsid w:val="00E276A2"/>
    <w:rsid w:val="00E55060"/>
    <w:rsid w:val="00E70F39"/>
    <w:rsid w:val="00E77C44"/>
    <w:rsid w:val="00E84C3B"/>
    <w:rsid w:val="00E9136B"/>
    <w:rsid w:val="00EA0D32"/>
    <w:rsid w:val="00EC4304"/>
    <w:rsid w:val="00ED06B3"/>
    <w:rsid w:val="00EE28C0"/>
    <w:rsid w:val="00EE65D4"/>
    <w:rsid w:val="00F44739"/>
    <w:rsid w:val="00F5525F"/>
    <w:rsid w:val="00F77E16"/>
    <w:rsid w:val="00F87528"/>
    <w:rsid w:val="00FA0678"/>
    <w:rsid w:val="00FA40EE"/>
    <w:rsid w:val="00FC06B2"/>
    <w:rsid w:val="00FE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A52E6"/>
  <w15:chartTrackingRefBased/>
  <w15:docId w15:val="{441D1657-CBF4-4644-9F38-A3F0B611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64"/>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uiPriority w:val="9"/>
    <w:semiHidden/>
    <w:unhideWhenUsed/>
    <w:qFormat/>
    <w:rsid w:val="00FE7D9F"/>
    <w:pPr>
      <w:keepNext/>
      <w:keepLines/>
      <w:spacing w:before="40" w:after="0"/>
      <w:outlineLvl w:val="1"/>
    </w:pPr>
    <w:rPr>
      <w:rFonts w:asciiTheme="majorHAnsi" w:eastAsiaTheme="majorEastAsia" w:hAnsiTheme="majorHAnsi" w:cstheme="majorBidi"/>
      <w:color w:val="140C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143CE0"/>
    <w:pPr>
      <w:spacing w:after="160" w:line="400" w:lineRule="exact"/>
    </w:pPr>
    <w:rPr>
      <w:rFonts w:eastAsia="Arial Unicode MS"/>
      <w:caps w:val="0"/>
      <w:color w:val="2C1B57" w:themeColor="accent1" w:themeTint="E6"/>
      <w:sz w:val="28"/>
      <w:szCs w:val="30"/>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1344F5"/>
    <w:rPr>
      <w:color w:val="FFFFFF" w:themeColor="background1"/>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themeTint="E6"/>
      <w:sz w:val="24"/>
    </w:rPr>
  </w:style>
  <w:style w:type="character" w:styleId="Hyperlink">
    <w:name w:val="Hyperlink"/>
    <w:basedOn w:val="DefaultParagraphFont"/>
    <w:unhideWhenUsed/>
    <w:rsid w:val="007C46F8"/>
    <w:rPr>
      <w:color w:val="262626" w:themeColor="hyperlink"/>
      <w:u w:val="single"/>
    </w:rPr>
  </w:style>
  <w:style w:type="character" w:styleId="UnresolvedMention">
    <w:name w:val="Unresolved Mention"/>
    <w:basedOn w:val="DefaultParagraphFont"/>
    <w:uiPriority w:val="99"/>
    <w:semiHidden/>
    <w:unhideWhenUsed/>
    <w:rsid w:val="007C46F8"/>
    <w:rPr>
      <w:color w:val="605E5C"/>
      <w:shd w:val="clear" w:color="auto" w:fill="E1DFDD"/>
    </w:rPr>
  </w:style>
  <w:style w:type="paragraph" w:styleId="ListParagraph">
    <w:name w:val="List Paragraph"/>
    <w:basedOn w:val="Normal"/>
    <w:uiPriority w:val="34"/>
    <w:qFormat/>
    <w:rsid w:val="00D50B64"/>
    <w:pPr>
      <w:ind w:left="720"/>
      <w:contextualSpacing/>
    </w:pPr>
  </w:style>
  <w:style w:type="character" w:styleId="FollowedHyperlink">
    <w:name w:val="FollowedHyperlink"/>
    <w:basedOn w:val="DefaultParagraphFont"/>
    <w:uiPriority w:val="99"/>
    <w:semiHidden/>
    <w:unhideWhenUsed/>
    <w:rsid w:val="00B87A87"/>
    <w:rPr>
      <w:color w:val="1A1A1A" w:themeColor="followedHyperlink"/>
      <w:u w:val="single"/>
    </w:rPr>
  </w:style>
  <w:style w:type="character" w:styleId="CommentReference">
    <w:name w:val="annotation reference"/>
    <w:basedOn w:val="DefaultParagraphFont"/>
    <w:uiPriority w:val="99"/>
    <w:semiHidden/>
    <w:unhideWhenUsed/>
    <w:rsid w:val="009E688A"/>
    <w:rPr>
      <w:sz w:val="16"/>
      <w:szCs w:val="16"/>
    </w:rPr>
  </w:style>
  <w:style w:type="paragraph" w:styleId="CommentText">
    <w:name w:val="annotation text"/>
    <w:basedOn w:val="Normal"/>
    <w:link w:val="CommentTextChar"/>
    <w:uiPriority w:val="99"/>
    <w:unhideWhenUsed/>
    <w:rsid w:val="009E688A"/>
    <w:pPr>
      <w:spacing w:line="240" w:lineRule="auto"/>
    </w:pPr>
    <w:rPr>
      <w:szCs w:val="20"/>
    </w:rPr>
  </w:style>
  <w:style w:type="character" w:customStyle="1" w:styleId="CommentTextChar">
    <w:name w:val="Comment Text Char"/>
    <w:basedOn w:val="DefaultParagraphFont"/>
    <w:link w:val="CommentText"/>
    <w:uiPriority w:val="99"/>
    <w:rsid w:val="009E688A"/>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9E688A"/>
    <w:rPr>
      <w:b/>
      <w:bCs/>
    </w:rPr>
  </w:style>
  <w:style w:type="character" w:customStyle="1" w:styleId="CommentSubjectChar">
    <w:name w:val="Comment Subject Char"/>
    <w:basedOn w:val="CommentTextChar"/>
    <w:link w:val="CommentSubject"/>
    <w:uiPriority w:val="99"/>
    <w:semiHidden/>
    <w:rsid w:val="009E688A"/>
    <w:rPr>
      <w:rFonts w:ascii="Franklin Gothic Book" w:hAnsi="Franklin Gothic Book" w:cs="Times New Roman (Body CS)"/>
      <w:b/>
      <w:bCs/>
      <w:sz w:val="20"/>
      <w:szCs w:val="20"/>
      <w14:ligatures w14:val="all"/>
    </w:rPr>
  </w:style>
  <w:style w:type="character" w:customStyle="1" w:styleId="Heading2Char">
    <w:name w:val="Heading 2 Char"/>
    <w:basedOn w:val="DefaultParagraphFont"/>
    <w:link w:val="Heading2"/>
    <w:uiPriority w:val="9"/>
    <w:semiHidden/>
    <w:rsid w:val="00FE7D9F"/>
    <w:rPr>
      <w:rFonts w:asciiTheme="majorHAnsi" w:eastAsiaTheme="majorEastAsia" w:hAnsiTheme="majorHAnsi" w:cstheme="majorBidi"/>
      <w:color w:val="140C28" w:themeColor="accent1" w:themeShade="BF"/>
      <w:sz w:val="26"/>
      <w:szCs w:val="26"/>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288">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622931825">
      <w:bodyDiv w:val="1"/>
      <w:marLeft w:val="0"/>
      <w:marRight w:val="0"/>
      <w:marTop w:val="0"/>
      <w:marBottom w:val="0"/>
      <w:divBdr>
        <w:top w:val="none" w:sz="0" w:space="0" w:color="auto"/>
        <w:left w:val="none" w:sz="0" w:space="0" w:color="auto"/>
        <w:bottom w:val="none" w:sz="0" w:space="0" w:color="auto"/>
        <w:right w:val="none" w:sz="0" w:space="0" w:color="auto"/>
      </w:divBdr>
    </w:div>
    <w:div w:id="1133861576">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governance-update/academy-trusts-school-governance-update-july-2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ly.quickcrockford@junipereducation.org" TargetMode="External"/><Relationship Id="rId17" Type="http://schemas.openxmlformats.org/officeDocument/2006/relationships/hyperlink" Target="https://www.gov.uk/government/publications/academy-trust-financial-management-good-practice-guides/internal-scrutiny-in-academy-trusts?" TargetMode="External"/><Relationship Id="rId2" Type="http://schemas.openxmlformats.org/officeDocument/2006/relationships/customXml" Target="../customXml/item2.xml"/><Relationship Id="rId16" Type="http://schemas.openxmlformats.org/officeDocument/2006/relationships/hyperlink" Target="https://assets.publishing.service.gov.uk/media/64f1e2a99ee0f2000fb7bdbf/ATH_2023_FINAL_01092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y.quickcrockford@junipereducation.org" TargetMode="External"/><Relationship Id="rId5" Type="http://schemas.openxmlformats.org/officeDocument/2006/relationships/numbering" Target="numbering.xml"/><Relationship Id="rId15" Type="http://schemas.openxmlformats.org/officeDocument/2006/relationships/hyperlink" Target="mailto:carly.quickcrockford@junipereducation.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information/school-governor-ques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Smith\Juniper\Education%20Finance%20-%20ICE\3%20-%20Internal%20Scrutiny%202023-2024\Academy\Templates%20-%20Reports\Internal%20Scrutiny%20Report%202023-24.dotx" TargetMode="Externa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7" ma:contentTypeDescription="Create a new document." ma:contentTypeScope="" ma:versionID="1e852c10c9bddd168c082a65a22b722b">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2da1d6f8bd634117067f298b1af5ed32"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b5a50b-01cc-43bc-8887-0e0d9f3789d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628d6c19-b72a-44b0-9565-f0f2931ba338"/>
    <ds:schemaRef ds:uri="4893dd02-7383-45c5-8ef5-7d64b2dfba00"/>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8F3A68C1-43AA-4EBF-AED3-4C7B46FD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60193-0919-E64A-AA48-54E76654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Scrutiny Report 2023-24</Template>
  <TotalTime>0</TotalTime>
  <Pages>13</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Links>
    <vt:vector size="48" baseType="variant">
      <vt:variant>
        <vt:i4>5177415</vt:i4>
      </vt:variant>
      <vt:variant>
        <vt:i4>21</vt:i4>
      </vt:variant>
      <vt:variant>
        <vt:i4>0</vt:i4>
      </vt:variant>
      <vt:variant>
        <vt:i4>5</vt:i4>
      </vt:variant>
      <vt:variant>
        <vt:lpwstr>https://www.gov.uk/government/publications/academy-trust-financial-management-good-practice-guides/internal-scrutiny-in-academy-trusts?</vt:lpwstr>
      </vt:variant>
      <vt:variant>
        <vt:lpwstr>annex-1</vt:lpwstr>
      </vt:variant>
      <vt:variant>
        <vt:i4>3342411</vt:i4>
      </vt:variant>
      <vt:variant>
        <vt:i4>18</vt:i4>
      </vt:variant>
      <vt:variant>
        <vt:i4>0</vt:i4>
      </vt:variant>
      <vt:variant>
        <vt:i4>5</vt:i4>
      </vt:variant>
      <vt:variant>
        <vt:lpwstr>https://assets.publishing.service.gov.uk/media/61018f99e90e0703b58e8c79/Academy_trust_handbook_2022.pdf</vt:lpwstr>
      </vt:variant>
      <vt:variant>
        <vt:lpwstr/>
      </vt:variant>
      <vt:variant>
        <vt:i4>3866709</vt:i4>
      </vt:variant>
      <vt:variant>
        <vt:i4>15</vt:i4>
      </vt:variant>
      <vt:variant>
        <vt:i4>0</vt:i4>
      </vt:variant>
      <vt:variant>
        <vt:i4>5</vt:i4>
      </vt:variant>
      <vt:variant>
        <vt:lpwstr>mailto:carly.quickcrockford@junipereducation.org</vt:lpwstr>
      </vt:variant>
      <vt:variant>
        <vt:lpwstr/>
      </vt:variant>
      <vt:variant>
        <vt:i4>1769474</vt:i4>
      </vt:variant>
      <vt:variant>
        <vt:i4>12</vt:i4>
      </vt:variant>
      <vt:variant>
        <vt:i4>0</vt:i4>
      </vt:variant>
      <vt:variant>
        <vt:i4>5</vt:i4>
      </vt:variant>
      <vt:variant>
        <vt:lpwstr>https://www.ncsc.gov.uk/information/school-governor-questions</vt:lpwstr>
      </vt:variant>
      <vt:variant>
        <vt:lpwstr/>
      </vt:variant>
      <vt:variant>
        <vt:i4>5373964</vt:i4>
      </vt:variant>
      <vt:variant>
        <vt:i4>9</vt:i4>
      </vt:variant>
      <vt:variant>
        <vt:i4>0</vt:i4>
      </vt:variant>
      <vt:variant>
        <vt:i4>5</vt:i4>
      </vt:variant>
      <vt:variant>
        <vt:lpwstr>https://www.gov.uk/government/publications/school-governance-update/academy-trusts-school-governance-update-july-2020</vt:lpwstr>
      </vt:variant>
      <vt:variant>
        <vt:lpwstr>new-guidance-on-managing-cyber-security-risks-in-your-school</vt:lpwstr>
      </vt:variant>
      <vt:variant>
        <vt:i4>3866709</vt:i4>
      </vt:variant>
      <vt:variant>
        <vt:i4>6</vt:i4>
      </vt:variant>
      <vt:variant>
        <vt:i4>0</vt:i4>
      </vt:variant>
      <vt:variant>
        <vt:i4>5</vt:i4>
      </vt:variant>
      <vt:variant>
        <vt:lpwstr>mailto:carly.quickcrockford@junipereducation.org</vt:lpwstr>
      </vt:variant>
      <vt:variant>
        <vt:lpwstr/>
      </vt:variant>
      <vt:variant>
        <vt:i4>1703966</vt:i4>
      </vt:variant>
      <vt:variant>
        <vt:i4>3</vt:i4>
      </vt:variant>
      <vt:variant>
        <vt:i4>0</vt:i4>
      </vt:variant>
      <vt:variant>
        <vt:i4>5</vt:i4>
      </vt:variant>
      <vt:variant>
        <vt:lpwstr>https://www.gov.uk/guidance/integrated-curriculum-and-financial-planning-icfp</vt:lpwstr>
      </vt:variant>
      <vt:variant>
        <vt:lpwstr/>
      </vt:variant>
      <vt:variant>
        <vt:i4>5439504</vt:i4>
      </vt:variant>
      <vt:variant>
        <vt:i4>0</vt:i4>
      </vt:variant>
      <vt:variant>
        <vt:i4>0</vt:i4>
      </vt:variant>
      <vt:variant>
        <vt:i4>5</vt:i4>
      </vt:variant>
      <vt:variant>
        <vt:lpwstr>http://www.gov.uk/guidance/what-academies-free-schools-and-colleges-should-publish-online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Sian Smith</cp:lastModifiedBy>
  <cp:revision>2</cp:revision>
  <cp:lastPrinted>2020-07-16T00:15:00Z</cp:lastPrinted>
  <dcterms:created xsi:type="dcterms:W3CDTF">2023-11-29T15:12:00Z</dcterms:created>
  <dcterms:modified xsi:type="dcterms:W3CDTF">2023-11-29T15:12:00Z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